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E95" w:rsidRDefault="00841E95" w:rsidP="00AB5B46">
      <w:pPr>
        <w:spacing w:line="240" w:lineRule="auto"/>
        <w:contextualSpacing/>
        <w:rPr>
          <w:rFonts w:cs="David" w:hint="cs"/>
          <w:sz w:val="26"/>
          <w:szCs w:val="26"/>
          <w:rtl/>
        </w:rPr>
      </w:pPr>
    </w:p>
    <w:p w:rsidR="00640C5C" w:rsidRDefault="00640C5C" w:rsidP="00AB5B46">
      <w:pPr>
        <w:spacing w:line="240" w:lineRule="auto"/>
        <w:contextualSpacing/>
        <w:rPr>
          <w:rFonts w:cs="David"/>
          <w:sz w:val="26"/>
          <w:szCs w:val="26"/>
          <w:rtl/>
        </w:rPr>
      </w:pPr>
      <w:r>
        <w:rPr>
          <w:rFonts w:cs="David" w:hint="cs"/>
          <w:sz w:val="26"/>
          <w:szCs w:val="26"/>
          <w:rtl/>
        </w:rPr>
        <w:t xml:space="preserve"> </w:t>
      </w:r>
    </w:p>
    <w:p w:rsidR="000066A9" w:rsidRDefault="00F6629A" w:rsidP="00044B1C">
      <w:pPr>
        <w:spacing w:line="240" w:lineRule="auto"/>
        <w:contextualSpacing/>
        <w:rPr>
          <w:rFonts w:cs="David"/>
          <w:sz w:val="24"/>
          <w:szCs w:val="24"/>
          <w:rtl/>
        </w:rPr>
      </w:pPr>
      <w:r>
        <w:rPr>
          <w:rFonts w:cs="David" w:hint="cs"/>
          <w:sz w:val="24"/>
          <w:szCs w:val="24"/>
          <w:rtl/>
        </w:rPr>
        <w:t xml:space="preserve"> </w:t>
      </w:r>
      <w:r w:rsidR="00BC7FBF">
        <w:rPr>
          <w:rFonts w:cs="David" w:hint="cs"/>
          <w:sz w:val="24"/>
          <w:szCs w:val="24"/>
          <w:rtl/>
        </w:rPr>
        <w:t xml:space="preserve">           </w:t>
      </w:r>
      <w:r>
        <w:rPr>
          <w:rFonts w:cs="David" w:hint="cs"/>
          <w:sz w:val="24"/>
          <w:szCs w:val="24"/>
          <w:rtl/>
        </w:rPr>
        <w:t xml:space="preserve"> </w:t>
      </w:r>
    </w:p>
    <w:p w:rsidR="000066A9" w:rsidRDefault="000066A9" w:rsidP="00044B1C">
      <w:pPr>
        <w:spacing w:line="240" w:lineRule="auto"/>
        <w:contextualSpacing/>
        <w:rPr>
          <w:rFonts w:cs="David"/>
          <w:sz w:val="24"/>
          <w:szCs w:val="24"/>
          <w:rtl/>
        </w:rPr>
      </w:pPr>
    </w:p>
    <w:p w:rsidR="000066A9" w:rsidRDefault="000066A9" w:rsidP="00044B1C">
      <w:pPr>
        <w:spacing w:line="240" w:lineRule="auto"/>
        <w:contextualSpacing/>
        <w:rPr>
          <w:rFonts w:cs="David"/>
          <w:sz w:val="24"/>
          <w:szCs w:val="24"/>
          <w:rtl/>
        </w:rPr>
      </w:pPr>
    </w:p>
    <w:p w:rsidR="00C03041" w:rsidRDefault="000066A9" w:rsidP="00F6396E">
      <w:pPr>
        <w:spacing w:line="240" w:lineRule="auto"/>
        <w:contextualSpacing/>
        <w:rPr>
          <w:rFonts w:cs="David"/>
          <w:sz w:val="24"/>
          <w:szCs w:val="24"/>
          <w:u w:val="single"/>
          <w:rtl/>
        </w:rPr>
      </w:pPr>
      <w:r>
        <w:rPr>
          <w:rFonts w:cs="David" w:hint="cs"/>
          <w:sz w:val="24"/>
          <w:szCs w:val="24"/>
          <w:rtl/>
        </w:rPr>
        <w:t xml:space="preserve">                 </w:t>
      </w:r>
      <w:r w:rsidR="00640C5C">
        <w:rPr>
          <w:rFonts w:cs="David" w:hint="cs"/>
          <w:sz w:val="24"/>
          <w:szCs w:val="24"/>
          <w:rtl/>
        </w:rPr>
        <w:t xml:space="preserve">הנדון: </w:t>
      </w:r>
      <w:r w:rsidR="00F6629A" w:rsidRPr="007631AF">
        <w:rPr>
          <w:rFonts w:cs="David" w:hint="cs"/>
          <w:sz w:val="24"/>
          <w:szCs w:val="24"/>
          <w:u w:val="single"/>
          <w:rtl/>
        </w:rPr>
        <w:t xml:space="preserve"> </w:t>
      </w:r>
      <w:r w:rsidR="007631AF" w:rsidRPr="009A4BAC">
        <w:rPr>
          <w:rFonts w:cs="David" w:hint="cs"/>
          <w:b/>
          <w:bCs/>
          <w:sz w:val="28"/>
          <w:szCs w:val="28"/>
          <w:u w:val="single"/>
          <w:rtl/>
        </w:rPr>
        <w:t>בקשה</w:t>
      </w:r>
      <w:r w:rsidR="00B7035B" w:rsidRPr="009A4BAC">
        <w:rPr>
          <w:rFonts w:cs="David" w:hint="cs"/>
          <w:b/>
          <w:bCs/>
          <w:sz w:val="28"/>
          <w:szCs w:val="28"/>
          <w:u w:val="single"/>
          <w:rtl/>
        </w:rPr>
        <w:t xml:space="preserve"> </w:t>
      </w:r>
      <w:r w:rsidR="007631AF" w:rsidRPr="009A4BAC">
        <w:rPr>
          <w:rFonts w:cs="David" w:hint="cs"/>
          <w:b/>
          <w:bCs/>
          <w:sz w:val="28"/>
          <w:szCs w:val="28"/>
          <w:u w:val="single"/>
          <w:rtl/>
        </w:rPr>
        <w:t xml:space="preserve">לדיון נוסף </w:t>
      </w:r>
      <w:r w:rsidR="00A6058A">
        <w:rPr>
          <w:rFonts w:cs="David"/>
          <w:b/>
          <w:bCs/>
          <w:sz w:val="28"/>
          <w:szCs w:val="28"/>
          <w:u w:val="single"/>
          <w:rtl/>
        </w:rPr>
        <w:t>–</w:t>
      </w:r>
      <w:r w:rsidR="00044B1C">
        <w:rPr>
          <w:rFonts w:cs="David" w:hint="cs"/>
          <w:b/>
          <w:bCs/>
          <w:sz w:val="28"/>
          <w:szCs w:val="28"/>
          <w:u w:val="single"/>
          <w:rtl/>
        </w:rPr>
        <w:t xml:space="preserve"> </w:t>
      </w:r>
      <w:r w:rsidR="00F6396E">
        <w:rPr>
          <w:rFonts w:cs="David" w:hint="cs"/>
          <w:b/>
          <w:bCs/>
          <w:sz w:val="28"/>
          <w:szCs w:val="28"/>
          <w:u w:val="single"/>
          <w:rtl/>
        </w:rPr>
        <w:t>מכבי חיפה</w:t>
      </w:r>
      <w:r w:rsidR="00044B1C">
        <w:rPr>
          <w:rFonts w:cs="David" w:hint="cs"/>
          <w:b/>
          <w:bCs/>
          <w:sz w:val="28"/>
          <w:szCs w:val="28"/>
          <w:u w:val="single"/>
          <w:rtl/>
        </w:rPr>
        <w:t xml:space="preserve"> נגד </w:t>
      </w:r>
      <w:r w:rsidR="00C03041" w:rsidRPr="00C03041">
        <w:rPr>
          <w:rFonts w:cs="David" w:hint="cs"/>
          <w:b/>
          <w:bCs/>
          <w:sz w:val="28"/>
          <w:szCs w:val="28"/>
          <w:u w:val="single"/>
          <w:rtl/>
        </w:rPr>
        <w:t>ההתאחדות לכדורגל</w:t>
      </w:r>
    </w:p>
    <w:p w:rsidR="00DA4467" w:rsidRDefault="00DA4467" w:rsidP="005C4B7E">
      <w:pPr>
        <w:spacing w:line="240" w:lineRule="auto"/>
        <w:contextualSpacing/>
        <w:jc w:val="both"/>
        <w:rPr>
          <w:rFonts w:cs="David"/>
          <w:b/>
          <w:bCs/>
          <w:sz w:val="28"/>
          <w:szCs w:val="28"/>
          <w:u w:val="single"/>
          <w:rtl/>
        </w:rPr>
      </w:pPr>
    </w:p>
    <w:p w:rsidR="00180F15" w:rsidRDefault="00180F15" w:rsidP="005C4B7E">
      <w:pPr>
        <w:spacing w:line="240" w:lineRule="auto"/>
        <w:contextualSpacing/>
        <w:jc w:val="both"/>
        <w:rPr>
          <w:rFonts w:cs="David"/>
          <w:b/>
          <w:bCs/>
          <w:sz w:val="28"/>
          <w:szCs w:val="28"/>
          <w:u w:val="single"/>
          <w:rtl/>
        </w:rPr>
      </w:pPr>
    </w:p>
    <w:p w:rsidR="00180F15" w:rsidRDefault="00180F15" w:rsidP="005C4B7E">
      <w:pPr>
        <w:spacing w:line="240" w:lineRule="auto"/>
        <w:contextualSpacing/>
        <w:jc w:val="both"/>
        <w:rPr>
          <w:rFonts w:cs="David"/>
          <w:b/>
          <w:bCs/>
          <w:sz w:val="28"/>
          <w:szCs w:val="28"/>
          <w:u w:val="single"/>
          <w:rtl/>
        </w:rPr>
      </w:pPr>
      <w:r>
        <w:rPr>
          <w:rFonts w:cs="David" w:hint="cs"/>
          <w:b/>
          <w:bCs/>
          <w:sz w:val="28"/>
          <w:szCs w:val="28"/>
          <w:u w:val="single"/>
          <w:rtl/>
        </w:rPr>
        <w:t>העובדות</w:t>
      </w:r>
    </w:p>
    <w:p w:rsidR="00494114" w:rsidRDefault="00F43A0A" w:rsidP="0031456C">
      <w:pPr>
        <w:pStyle w:val="ListParagraph"/>
        <w:numPr>
          <w:ilvl w:val="0"/>
          <w:numId w:val="1"/>
        </w:numPr>
        <w:spacing w:line="240" w:lineRule="auto"/>
        <w:jc w:val="both"/>
        <w:rPr>
          <w:rFonts w:cs="David"/>
          <w:sz w:val="24"/>
          <w:szCs w:val="24"/>
        </w:rPr>
      </w:pPr>
      <w:r w:rsidRPr="00044B1C">
        <w:rPr>
          <w:rFonts w:cs="David" w:hint="cs"/>
          <w:sz w:val="24"/>
          <w:szCs w:val="24"/>
          <w:rtl/>
        </w:rPr>
        <w:t xml:space="preserve">בפניי בקשת </w:t>
      </w:r>
      <w:r w:rsidR="00044B1C" w:rsidRPr="00044B1C">
        <w:rPr>
          <w:rFonts w:cs="David" w:hint="cs"/>
          <w:sz w:val="24"/>
          <w:szCs w:val="24"/>
          <w:rtl/>
        </w:rPr>
        <w:t xml:space="preserve">קבוצת </w:t>
      </w:r>
      <w:r w:rsidR="00F6396E">
        <w:rPr>
          <w:rFonts w:cs="David" w:hint="cs"/>
          <w:sz w:val="24"/>
          <w:szCs w:val="24"/>
          <w:rtl/>
        </w:rPr>
        <w:t>מכבי חיפה</w:t>
      </w:r>
      <w:r w:rsidR="00044B1C">
        <w:rPr>
          <w:rFonts w:cs="David" w:hint="cs"/>
          <w:sz w:val="24"/>
          <w:szCs w:val="24"/>
          <w:rtl/>
        </w:rPr>
        <w:t xml:space="preserve"> (להלן </w:t>
      </w:r>
      <w:r w:rsidR="00044B1C">
        <w:rPr>
          <w:rFonts w:cs="David"/>
          <w:sz w:val="24"/>
          <w:szCs w:val="24"/>
          <w:rtl/>
        </w:rPr>
        <w:t>–</w:t>
      </w:r>
      <w:r w:rsidR="00044B1C" w:rsidRPr="00044B1C">
        <w:rPr>
          <w:rFonts w:cs="David" w:hint="cs"/>
          <w:b/>
          <w:bCs/>
          <w:sz w:val="24"/>
          <w:szCs w:val="24"/>
          <w:rtl/>
        </w:rPr>
        <w:t xml:space="preserve"> המבקשת</w:t>
      </w:r>
      <w:r w:rsidR="00044B1C">
        <w:rPr>
          <w:rFonts w:cs="David" w:hint="cs"/>
          <w:sz w:val="24"/>
          <w:szCs w:val="24"/>
          <w:rtl/>
        </w:rPr>
        <w:t>)</w:t>
      </w:r>
      <w:r w:rsidR="00044B1C" w:rsidRPr="00044B1C">
        <w:rPr>
          <w:rFonts w:cs="David" w:hint="cs"/>
          <w:sz w:val="24"/>
          <w:szCs w:val="24"/>
          <w:rtl/>
        </w:rPr>
        <w:t>, באמצעות ב"כ עו"ד</w:t>
      </w:r>
      <w:r w:rsidR="0031456C">
        <w:rPr>
          <w:rFonts w:cs="David" w:hint="cs"/>
          <w:sz w:val="24"/>
          <w:szCs w:val="24"/>
          <w:rtl/>
        </w:rPr>
        <w:t xml:space="preserve"> עופר בן-אסא</w:t>
      </w:r>
      <w:r w:rsidR="00044B1C" w:rsidRPr="00044B1C">
        <w:rPr>
          <w:rFonts w:cs="David" w:hint="cs"/>
          <w:sz w:val="24"/>
          <w:szCs w:val="24"/>
          <w:rtl/>
        </w:rPr>
        <w:t xml:space="preserve">, לקיים דיון נוסף על </w:t>
      </w:r>
      <w:r w:rsidR="00044B1C">
        <w:rPr>
          <w:rFonts w:cs="David" w:hint="cs"/>
          <w:sz w:val="24"/>
          <w:szCs w:val="24"/>
          <w:rtl/>
        </w:rPr>
        <w:t>פסק דינו של</w:t>
      </w:r>
      <w:r w:rsidR="00044B1C" w:rsidRPr="00044B1C">
        <w:rPr>
          <w:rFonts w:cs="David" w:hint="cs"/>
          <w:sz w:val="24"/>
          <w:szCs w:val="24"/>
          <w:rtl/>
        </w:rPr>
        <w:t xml:space="preserve"> ביה"ד העליון מיום </w:t>
      </w:r>
      <w:r w:rsidR="00F6396E">
        <w:rPr>
          <w:rFonts w:cs="David" w:hint="cs"/>
          <w:sz w:val="24"/>
          <w:szCs w:val="24"/>
          <w:rtl/>
        </w:rPr>
        <w:t>27.4.22</w:t>
      </w:r>
      <w:r w:rsidR="00044B1C">
        <w:rPr>
          <w:rFonts w:cs="David" w:hint="cs"/>
          <w:sz w:val="24"/>
          <w:szCs w:val="24"/>
          <w:rtl/>
        </w:rPr>
        <w:t xml:space="preserve"> (להלן </w:t>
      </w:r>
      <w:r w:rsidR="00044B1C">
        <w:rPr>
          <w:rFonts w:cs="David"/>
          <w:sz w:val="24"/>
          <w:szCs w:val="24"/>
          <w:rtl/>
        </w:rPr>
        <w:t>–</w:t>
      </w:r>
      <w:r w:rsidR="00044B1C">
        <w:rPr>
          <w:rFonts w:cs="David" w:hint="cs"/>
          <w:sz w:val="24"/>
          <w:szCs w:val="24"/>
          <w:rtl/>
        </w:rPr>
        <w:t xml:space="preserve"> </w:t>
      </w:r>
      <w:r w:rsidR="00044B1C" w:rsidRPr="00044B1C">
        <w:rPr>
          <w:rFonts w:cs="David" w:hint="cs"/>
          <w:b/>
          <w:bCs/>
          <w:sz w:val="24"/>
          <w:szCs w:val="24"/>
          <w:rtl/>
        </w:rPr>
        <w:t>פסק הדין</w:t>
      </w:r>
      <w:r w:rsidR="00044B1C">
        <w:rPr>
          <w:rFonts w:cs="David" w:hint="cs"/>
          <w:sz w:val="24"/>
          <w:szCs w:val="24"/>
          <w:rtl/>
        </w:rPr>
        <w:t xml:space="preserve">), לפיו </w:t>
      </w:r>
      <w:r w:rsidR="00044B1C" w:rsidRPr="00044B1C">
        <w:rPr>
          <w:rFonts w:cs="David" w:hint="cs"/>
          <w:sz w:val="24"/>
          <w:szCs w:val="24"/>
          <w:rtl/>
        </w:rPr>
        <w:t>הורשעה המ</w:t>
      </w:r>
      <w:r w:rsidR="00044B1C">
        <w:rPr>
          <w:rFonts w:cs="David" w:hint="cs"/>
          <w:sz w:val="24"/>
          <w:szCs w:val="24"/>
          <w:rtl/>
        </w:rPr>
        <w:t>ב</w:t>
      </w:r>
      <w:r w:rsidR="00044B1C" w:rsidRPr="00044B1C">
        <w:rPr>
          <w:rFonts w:cs="David" w:hint="cs"/>
          <w:sz w:val="24"/>
          <w:szCs w:val="24"/>
          <w:rtl/>
        </w:rPr>
        <w:t xml:space="preserve">קשת בעבירות שונות, והוטלו עליה ענשים, כמפורט </w:t>
      </w:r>
      <w:r w:rsidR="0031456C">
        <w:rPr>
          <w:rFonts w:cs="David" w:hint="cs"/>
          <w:sz w:val="24"/>
          <w:szCs w:val="24"/>
          <w:rtl/>
        </w:rPr>
        <w:t>להלן</w:t>
      </w:r>
      <w:r w:rsidR="00044B1C" w:rsidRPr="00044B1C">
        <w:rPr>
          <w:rFonts w:cs="David" w:hint="cs"/>
          <w:sz w:val="24"/>
          <w:szCs w:val="24"/>
          <w:rtl/>
        </w:rPr>
        <w:t xml:space="preserve">. </w:t>
      </w:r>
    </w:p>
    <w:p w:rsidR="00AB3C56" w:rsidRPr="00044B1C" w:rsidRDefault="00AB3C56" w:rsidP="00AB3C56">
      <w:pPr>
        <w:pStyle w:val="ListParagraph"/>
        <w:spacing w:line="240" w:lineRule="auto"/>
        <w:ind w:left="360"/>
        <w:jc w:val="both"/>
        <w:rPr>
          <w:rFonts w:cs="David"/>
          <w:sz w:val="24"/>
          <w:szCs w:val="24"/>
          <w:rtl/>
        </w:rPr>
      </w:pPr>
    </w:p>
    <w:p w:rsidR="00F77C80" w:rsidRDefault="00F6396E" w:rsidP="009E7D17">
      <w:pPr>
        <w:pStyle w:val="ListParagraph"/>
        <w:numPr>
          <w:ilvl w:val="0"/>
          <w:numId w:val="1"/>
        </w:numPr>
        <w:spacing w:line="240" w:lineRule="auto"/>
        <w:jc w:val="both"/>
        <w:rPr>
          <w:rFonts w:cs="David"/>
          <w:sz w:val="24"/>
          <w:szCs w:val="24"/>
        </w:rPr>
      </w:pPr>
      <w:r w:rsidRPr="00F6396E">
        <w:rPr>
          <w:rFonts w:cs="David" w:hint="cs"/>
          <w:sz w:val="24"/>
          <w:szCs w:val="24"/>
          <w:rtl/>
        </w:rPr>
        <w:t>ביום 20.4.22 הועמדה המבקשת לדין</w:t>
      </w:r>
      <w:r>
        <w:rPr>
          <w:rFonts w:cs="David" w:hint="cs"/>
          <w:sz w:val="24"/>
          <w:szCs w:val="24"/>
          <w:rtl/>
        </w:rPr>
        <w:t xml:space="preserve"> משמעתי</w:t>
      </w:r>
      <w:r w:rsidRPr="00F6396E">
        <w:rPr>
          <w:rFonts w:cs="David" w:hint="cs"/>
          <w:sz w:val="24"/>
          <w:szCs w:val="24"/>
          <w:rtl/>
        </w:rPr>
        <w:t xml:space="preserve"> בגין עבירה של התפר</w:t>
      </w:r>
      <w:r w:rsidR="00D11559">
        <w:rPr>
          <w:rFonts w:cs="David" w:hint="cs"/>
          <w:sz w:val="24"/>
          <w:szCs w:val="24"/>
          <w:rtl/>
        </w:rPr>
        <w:t>עות קהל אוהדים, לפי סעיף</w:t>
      </w:r>
      <w:r w:rsidR="0031456C">
        <w:rPr>
          <w:rFonts w:cs="David" w:hint="cs"/>
          <w:sz w:val="24"/>
          <w:szCs w:val="24"/>
          <w:rtl/>
        </w:rPr>
        <w:t xml:space="preserve"> </w:t>
      </w:r>
      <w:r w:rsidR="00A03BA0">
        <w:rPr>
          <w:rFonts w:cs="David" w:hint="cs"/>
          <w:sz w:val="24"/>
          <w:szCs w:val="24"/>
          <w:rtl/>
        </w:rPr>
        <w:t>20.</w:t>
      </w:r>
      <w:r w:rsidR="0031456C">
        <w:rPr>
          <w:rFonts w:cs="David" w:hint="cs"/>
          <w:sz w:val="24"/>
          <w:szCs w:val="24"/>
          <w:rtl/>
        </w:rPr>
        <w:t>טו'</w:t>
      </w:r>
      <w:r w:rsidR="00D11559">
        <w:rPr>
          <w:rFonts w:cs="David" w:hint="cs"/>
          <w:sz w:val="24"/>
          <w:szCs w:val="24"/>
          <w:rtl/>
        </w:rPr>
        <w:t xml:space="preserve"> לתקנון </w:t>
      </w:r>
      <w:r w:rsidR="0031456C">
        <w:rPr>
          <w:rFonts w:cs="David" w:hint="cs"/>
          <w:sz w:val="24"/>
          <w:szCs w:val="24"/>
          <w:rtl/>
        </w:rPr>
        <w:t xml:space="preserve">המשמעת, </w:t>
      </w:r>
      <w:r w:rsidRPr="00F6396E">
        <w:rPr>
          <w:rFonts w:cs="David" w:hint="cs"/>
          <w:sz w:val="24"/>
          <w:szCs w:val="24"/>
          <w:rtl/>
        </w:rPr>
        <w:t>וה</w:t>
      </w:r>
      <w:r w:rsidR="00D11559">
        <w:rPr>
          <w:rFonts w:cs="David" w:hint="cs"/>
          <w:sz w:val="24"/>
          <w:szCs w:val="24"/>
          <w:rtl/>
        </w:rPr>
        <w:t xml:space="preserve">וטל עליה ענש של קנס כספי </w:t>
      </w:r>
      <w:r w:rsidRPr="00F6396E">
        <w:rPr>
          <w:rFonts w:cs="David" w:hint="cs"/>
          <w:sz w:val="24"/>
          <w:szCs w:val="24"/>
          <w:rtl/>
        </w:rPr>
        <w:t xml:space="preserve">בסך </w:t>
      </w:r>
      <w:r w:rsidR="00D11559">
        <w:rPr>
          <w:rFonts w:cs="David" w:hint="cs"/>
          <w:sz w:val="24"/>
          <w:szCs w:val="24"/>
          <w:rtl/>
        </w:rPr>
        <w:t xml:space="preserve">10,000 </w:t>
      </w:r>
      <w:r w:rsidRPr="00F6396E">
        <w:rPr>
          <w:rFonts w:cs="David" w:hint="cs"/>
          <w:sz w:val="24"/>
          <w:szCs w:val="24"/>
          <w:rtl/>
        </w:rPr>
        <w:t>ש"ח. כמו כן, הופעל כנגדה עונש ע"ת של סגירת היציע הצפוני באיצטדיון סמי עופר (</w:t>
      </w:r>
      <w:r w:rsidR="00D11559">
        <w:rPr>
          <w:rFonts w:cs="David" w:hint="cs"/>
          <w:sz w:val="24"/>
          <w:szCs w:val="24"/>
          <w:rtl/>
        </w:rPr>
        <w:t xml:space="preserve">תיק 114761, </w:t>
      </w:r>
      <w:r w:rsidRPr="00F6396E">
        <w:rPr>
          <w:rFonts w:cs="David" w:hint="cs"/>
          <w:sz w:val="24"/>
          <w:szCs w:val="24"/>
          <w:rtl/>
        </w:rPr>
        <w:t>הדיין י' שמעוני). המבקשת ערערה לביה"ד העליון</w:t>
      </w:r>
      <w:r>
        <w:rPr>
          <w:rFonts w:cs="David" w:hint="cs"/>
          <w:sz w:val="24"/>
          <w:szCs w:val="24"/>
          <w:rtl/>
        </w:rPr>
        <w:t xml:space="preserve"> כנגד הפעלת העונש המותנה, שכן לטענתה, התנאי שהו</w:t>
      </w:r>
      <w:r w:rsidR="009E7D17">
        <w:rPr>
          <w:rFonts w:cs="David" w:hint="cs"/>
          <w:sz w:val="24"/>
          <w:szCs w:val="24"/>
          <w:rtl/>
        </w:rPr>
        <w:t>טל</w:t>
      </w:r>
      <w:r>
        <w:rPr>
          <w:rFonts w:cs="David" w:hint="cs"/>
          <w:sz w:val="24"/>
          <w:szCs w:val="24"/>
          <w:rtl/>
        </w:rPr>
        <w:t xml:space="preserve"> היה בגין התפרעות קהל אוהדים "בנסיבות מחמירות", ואילו עתה עמדה המבקשת לדין בגין התפרעות קהל אוהדים</w:t>
      </w:r>
      <w:r w:rsidR="008E1DED">
        <w:rPr>
          <w:rFonts w:cs="David" w:hint="cs"/>
          <w:sz w:val="24"/>
          <w:szCs w:val="24"/>
          <w:rtl/>
        </w:rPr>
        <w:t>,</w:t>
      </w:r>
      <w:r>
        <w:rPr>
          <w:rFonts w:cs="David" w:hint="cs"/>
          <w:sz w:val="24"/>
          <w:szCs w:val="24"/>
          <w:rtl/>
        </w:rPr>
        <w:t xml:space="preserve"> </w:t>
      </w:r>
      <w:r w:rsidR="008E1DED">
        <w:rPr>
          <w:rFonts w:cs="David" w:hint="cs"/>
          <w:sz w:val="24"/>
          <w:szCs w:val="24"/>
          <w:rtl/>
        </w:rPr>
        <w:t>גרידא</w:t>
      </w:r>
      <w:r>
        <w:rPr>
          <w:rFonts w:cs="David" w:hint="cs"/>
          <w:sz w:val="24"/>
          <w:szCs w:val="24"/>
          <w:rtl/>
        </w:rPr>
        <w:t xml:space="preserve"> ללא התוספת של "נסיבות מחמירות".</w:t>
      </w:r>
    </w:p>
    <w:p w:rsidR="008E1DED" w:rsidRDefault="008E1DED" w:rsidP="008E1DED">
      <w:pPr>
        <w:pStyle w:val="ListParagraph"/>
        <w:spacing w:line="240" w:lineRule="auto"/>
        <w:ind w:left="360"/>
        <w:jc w:val="both"/>
        <w:rPr>
          <w:rFonts w:cs="David"/>
          <w:sz w:val="24"/>
          <w:szCs w:val="24"/>
        </w:rPr>
      </w:pPr>
    </w:p>
    <w:p w:rsidR="00345498" w:rsidRDefault="008E1DED" w:rsidP="00B278A4">
      <w:pPr>
        <w:pStyle w:val="ListParagraph"/>
        <w:numPr>
          <w:ilvl w:val="0"/>
          <w:numId w:val="1"/>
        </w:numPr>
        <w:spacing w:line="240" w:lineRule="auto"/>
        <w:jc w:val="both"/>
        <w:rPr>
          <w:rFonts w:cs="David"/>
          <w:sz w:val="24"/>
          <w:szCs w:val="24"/>
        </w:rPr>
      </w:pPr>
      <w:r>
        <w:rPr>
          <w:rFonts w:cs="David" w:hint="cs"/>
          <w:sz w:val="24"/>
          <w:szCs w:val="24"/>
          <w:rtl/>
        </w:rPr>
        <w:t>ביה"ד העליון שליד ההתאחדות לכדורגל</w:t>
      </w:r>
      <w:r w:rsidR="00BC5770">
        <w:rPr>
          <w:rFonts w:cs="David" w:hint="cs"/>
          <w:sz w:val="24"/>
          <w:szCs w:val="24"/>
          <w:rtl/>
        </w:rPr>
        <w:t xml:space="preserve"> (בהרכב: פרופ' מיגל דויטש, עו"ד בנצי פרחי, עו"ד דוד יהב),</w:t>
      </w:r>
      <w:r>
        <w:rPr>
          <w:rFonts w:cs="David" w:hint="cs"/>
          <w:sz w:val="24"/>
          <w:szCs w:val="24"/>
          <w:rtl/>
        </w:rPr>
        <w:t xml:space="preserve"> החליט לדחות את הערעור,</w:t>
      </w:r>
      <w:r w:rsidR="00B278A4">
        <w:rPr>
          <w:rFonts w:cs="David" w:hint="cs"/>
          <w:sz w:val="24"/>
          <w:szCs w:val="24"/>
          <w:rtl/>
        </w:rPr>
        <w:t xml:space="preserve"> לאחר</w:t>
      </w:r>
      <w:r>
        <w:rPr>
          <w:rFonts w:cs="David" w:hint="cs"/>
          <w:sz w:val="24"/>
          <w:szCs w:val="24"/>
          <w:rtl/>
        </w:rPr>
        <w:t xml:space="preserve"> שהתייחס לפסיקת ביה"ד המשמעתי שהטיל את העונש המותנה, תוך שימוש במלים: </w:t>
      </w:r>
      <w:r w:rsidRPr="008E1DED">
        <w:rPr>
          <w:rFonts w:cs="David" w:hint="cs"/>
          <w:b/>
          <w:bCs/>
          <w:sz w:val="24"/>
          <w:szCs w:val="24"/>
          <w:rtl/>
        </w:rPr>
        <w:t>"...כל הרשעה חוזרת בהתפרעות אוהדים ו/או בהתנהגות בלתי הולמת אוהדים בנסיבות מחמירות"</w:t>
      </w:r>
      <w:r w:rsidR="00DF1D67">
        <w:rPr>
          <w:rFonts w:cs="David" w:hint="cs"/>
          <w:sz w:val="24"/>
          <w:szCs w:val="24"/>
          <w:rtl/>
        </w:rPr>
        <w:t xml:space="preserve"> (תיק 112847 מיום 15.12.21).</w:t>
      </w:r>
    </w:p>
    <w:p w:rsidR="00345498" w:rsidRDefault="00345498" w:rsidP="00345498">
      <w:pPr>
        <w:pStyle w:val="ListParagraph"/>
        <w:spacing w:line="240" w:lineRule="auto"/>
        <w:ind w:left="360"/>
        <w:jc w:val="both"/>
        <w:rPr>
          <w:rFonts w:cs="David"/>
          <w:sz w:val="24"/>
          <w:szCs w:val="24"/>
          <w:rtl/>
        </w:rPr>
      </w:pPr>
    </w:p>
    <w:p w:rsidR="008E1DED" w:rsidRPr="00345498" w:rsidRDefault="008E1DED" w:rsidP="00345498">
      <w:pPr>
        <w:pStyle w:val="ListParagraph"/>
        <w:spacing w:line="240" w:lineRule="auto"/>
        <w:ind w:left="360"/>
        <w:jc w:val="both"/>
        <w:rPr>
          <w:rFonts w:cs="David"/>
          <w:sz w:val="24"/>
          <w:szCs w:val="24"/>
        </w:rPr>
      </w:pPr>
      <w:r w:rsidRPr="00345498">
        <w:rPr>
          <w:rFonts w:cs="David" w:hint="cs"/>
          <w:sz w:val="24"/>
          <w:szCs w:val="24"/>
          <w:rtl/>
        </w:rPr>
        <w:t>ביה"ד העליון</w:t>
      </w:r>
      <w:r w:rsidR="00345498">
        <w:rPr>
          <w:rFonts w:cs="David" w:hint="cs"/>
          <w:sz w:val="24"/>
          <w:szCs w:val="24"/>
          <w:rtl/>
        </w:rPr>
        <w:t xml:space="preserve"> פירש את קביעתו של ביה"ד המשמעתי, ו</w:t>
      </w:r>
      <w:r w:rsidRPr="00345498">
        <w:rPr>
          <w:rFonts w:cs="David" w:hint="cs"/>
          <w:sz w:val="24"/>
          <w:szCs w:val="24"/>
          <w:rtl/>
        </w:rPr>
        <w:t>קבע בזו הלשון:</w:t>
      </w:r>
    </w:p>
    <w:p w:rsidR="00C66938" w:rsidRDefault="00C66938" w:rsidP="00C66938">
      <w:pPr>
        <w:pStyle w:val="ListParagraph"/>
        <w:spacing w:line="240" w:lineRule="auto"/>
        <w:ind w:left="360"/>
        <w:jc w:val="both"/>
        <w:rPr>
          <w:rFonts w:cs="David"/>
          <w:sz w:val="24"/>
          <w:szCs w:val="24"/>
        </w:rPr>
      </w:pPr>
    </w:p>
    <w:p w:rsidR="008E1DED" w:rsidRDefault="008E1DED" w:rsidP="00C66938">
      <w:pPr>
        <w:pStyle w:val="ListParagraph"/>
        <w:spacing w:line="240" w:lineRule="auto"/>
        <w:jc w:val="both"/>
        <w:rPr>
          <w:rFonts w:cs="David"/>
          <w:b/>
          <w:bCs/>
          <w:sz w:val="24"/>
          <w:szCs w:val="24"/>
          <w:rtl/>
        </w:rPr>
      </w:pPr>
      <w:r w:rsidRPr="00C66938">
        <w:rPr>
          <w:rFonts w:cs="David" w:hint="cs"/>
          <w:b/>
          <w:bCs/>
          <w:sz w:val="24"/>
          <w:szCs w:val="24"/>
          <w:rtl/>
        </w:rPr>
        <w:t>"דעתנו שהפירוש הסביר</w:t>
      </w:r>
      <w:r w:rsidR="00C66938" w:rsidRPr="00C66938">
        <w:rPr>
          <w:rFonts w:cs="David" w:hint="cs"/>
          <w:b/>
          <w:bCs/>
          <w:sz w:val="24"/>
          <w:szCs w:val="24"/>
          <w:rtl/>
        </w:rPr>
        <w:t xml:space="preserve"> </w:t>
      </w:r>
      <w:r w:rsidRPr="00C66938">
        <w:rPr>
          <w:rFonts w:cs="David" w:hint="cs"/>
          <w:b/>
          <w:bCs/>
          <w:sz w:val="24"/>
          <w:szCs w:val="24"/>
          <w:rtl/>
        </w:rPr>
        <w:t>יותר והנכון יותר לגזר הדין שניתן בהליך הקודם, הינו שהביטוי "נסיבות מחמירות" חל רק על עבירה של התנהגות בלתי הולמת ולא על עבירה של התפרעות אוהדים. ההסבר לכך הוא שהעבירה בכתב האישום בהליך הקודם, שאליה התייחס גזר הדין, הייתה עבירה של "התפרעות אוהדים"</w:t>
      </w:r>
      <w:r w:rsidR="005A49E2" w:rsidRPr="00C66938">
        <w:rPr>
          <w:rFonts w:cs="David" w:hint="cs"/>
          <w:b/>
          <w:bCs/>
          <w:sz w:val="24"/>
          <w:szCs w:val="24"/>
          <w:rtl/>
        </w:rPr>
        <w:t xml:space="preserve"> ולא "התפרעות אוהדים בנסיבות מחמירות". בכתב האישום המונח "נסיבות מחמירות" מופיע רק בהקשר להתנהגות בלתי הולמת"</w:t>
      </w:r>
      <w:r w:rsidR="00C76E8F">
        <w:rPr>
          <w:rFonts w:cs="David" w:hint="cs"/>
          <w:b/>
          <w:bCs/>
          <w:sz w:val="24"/>
          <w:szCs w:val="24"/>
          <w:rtl/>
        </w:rPr>
        <w:t>.</w:t>
      </w:r>
    </w:p>
    <w:p w:rsidR="00C76E8F" w:rsidRDefault="00C76E8F" w:rsidP="00C66938">
      <w:pPr>
        <w:pStyle w:val="ListParagraph"/>
        <w:spacing w:line="240" w:lineRule="auto"/>
        <w:jc w:val="both"/>
        <w:rPr>
          <w:rFonts w:cs="David"/>
          <w:b/>
          <w:bCs/>
          <w:sz w:val="24"/>
          <w:szCs w:val="24"/>
          <w:rtl/>
        </w:rPr>
      </w:pPr>
    </w:p>
    <w:p w:rsidR="00C66938" w:rsidRPr="00C66938" w:rsidRDefault="00C66938" w:rsidP="00C66938">
      <w:pPr>
        <w:spacing w:line="240" w:lineRule="auto"/>
        <w:jc w:val="both"/>
        <w:rPr>
          <w:rFonts w:cs="David"/>
          <w:b/>
          <w:bCs/>
          <w:sz w:val="28"/>
          <w:szCs w:val="28"/>
          <w:u w:val="single"/>
        </w:rPr>
      </w:pPr>
      <w:r w:rsidRPr="00C66938">
        <w:rPr>
          <w:rFonts w:cs="David" w:hint="cs"/>
          <w:b/>
          <w:bCs/>
          <w:sz w:val="28"/>
          <w:szCs w:val="28"/>
          <w:u w:val="single"/>
          <w:rtl/>
        </w:rPr>
        <w:t>הבקשה לדיון נוסף</w:t>
      </w:r>
    </w:p>
    <w:p w:rsidR="00F6396E" w:rsidRDefault="00C66938" w:rsidP="004735F6">
      <w:pPr>
        <w:spacing w:line="240" w:lineRule="auto"/>
        <w:jc w:val="both"/>
        <w:rPr>
          <w:rFonts w:cs="David"/>
          <w:b/>
          <w:bCs/>
          <w:sz w:val="24"/>
          <w:szCs w:val="24"/>
          <w:rtl/>
        </w:rPr>
      </w:pPr>
      <w:r>
        <w:rPr>
          <w:rFonts w:cs="David" w:hint="cs"/>
          <w:sz w:val="24"/>
          <w:szCs w:val="24"/>
          <w:rtl/>
        </w:rPr>
        <w:t>4. המבקשת אינה משלימה עם פסיקת ביה"ד העליון, וחוזרת על טיעונה כי מאחר והעונש המותנה הוטל בגין עבירה של "</w:t>
      </w:r>
      <w:r w:rsidRPr="00DF1D67">
        <w:rPr>
          <w:rFonts w:cs="David" w:hint="cs"/>
          <w:b/>
          <w:bCs/>
          <w:sz w:val="24"/>
          <w:szCs w:val="24"/>
          <w:rtl/>
        </w:rPr>
        <w:t>התפרעות אוהדים בנסיבות מחמירות</w:t>
      </w:r>
      <w:r>
        <w:rPr>
          <w:rFonts w:cs="David" w:hint="cs"/>
          <w:sz w:val="24"/>
          <w:szCs w:val="24"/>
          <w:rtl/>
        </w:rPr>
        <w:t>", לא היה מקום להפעילו משהורשעה המבקשת בתיק הנוכחי בעבירה של "</w:t>
      </w:r>
      <w:r w:rsidRPr="00DF1D67">
        <w:rPr>
          <w:rFonts w:cs="David" w:hint="cs"/>
          <w:b/>
          <w:bCs/>
          <w:sz w:val="24"/>
          <w:szCs w:val="24"/>
          <w:rtl/>
        </w:rPr>
        <w:t>התפרעות אוהדים</w:t>
      </w:r>
      <w:r>
        <w:rPr>
          <w:rFonts w:cs="David" w:hint="cs"/>
          <w:sz w:val="24"/>
          <w:szCs w:val="24"/>
          <w:rtl/>
        </w:rPr>
        <w:t>" בלבד.</w:t>
      </w:r>
      <w:r w:rsidR="00345498">
        <w:rPr>
          <w:rFonts w:cs="David" w:hint="cs"/>
          <w:sz w:val="24"/>
          <w:szCs w:val="24"/>
          <w:rtl/>
        </w:rPr>
        <w:t xml:space="preserve"> עוד מוסיף ב"כ המבקשת</w:t>
      </w:r>
      <w:r w:rsidR="00B3318B">
        <w:rPr>
          <w:rFonts w:cs="David" w:hint="cs"/>
          <w:sz w:val="24"/>
          <w:szCs w:val="24"/>
          <w:rtl/>
        </w:rPr>
        <w:t>,</w:t>
      </w:r>
      <w:r w:rsidR="00345498">
        <w:rPr>
          <w:rFonts w:cs="David" w:hint="cs"/>
          <w:sz w:val="24"/>
          <w:szCs w:val="24"/>
          <w:rtl/>
        </w:rPr>
        <w:t xml:space="preserve"> עו"ד עופר בן-אסא, וטוען כי פסיקתו של ביה"ד העליון עומד</w:t>
      </w:r>
      <w:r w:rsidR="00F6116C">
        <w:rPr>
          <w:rFonts w:cs="David" w:hint="cs"/>
          <w:sz w:val="24"/>
          <w:szCs w:val="24"/>
          <w:rtl/>
        </w:rPr>
        <w:t>ת</w:t>
      </w:r>
      <w:r w:rsidR="00345498">
        <w:rPr>
          <w:rFonts w:cs="David" w:hint="cs"/>
          <w:sz w:val="24"/>
          <w:szCs w:val="24"/>
          <w:rtl/>
        </w:rPr>
        <w:t xml:space="preserve"> בניגוד ל"</w:t>
      </w:r>
      <w:r w:rsidR="00345498" w:rsidRPr="00345498">
        <w:rPr>
          <w:rFonts w:cs="David" w:hint="cs"/>
          <w:b/>
          <w:bCs/>
          <w:sz w:val="24"/>
          <w:szCs w:val="24"/>
          <w:rtl/>
        </w:rPr>
        <w:t>החלטה חלוטה</w:t>
      </w:r>
      <w:r w:rsidR="00345498">
        <w:rPr>
          <w:rFonts w:cs="David" w:hint="cs"/>
          <w:sz w:val="24"/>
          <w:szCs w:val="24"/>
          <w:rtl/>
        </w:rPr>
        <w:t xml:space="preserve">" </w:t>
      </w:r>
      <w:r w:rsidR="00DF1D67">
        <w:rPr>
          <w:rFonts w:cs="David" w:hint="cs"/>
          <w:sz w:val="24"/>
          <w:szCs w:val="24"/>
          <w:rtl/>
        </w:rPr>
        <w:t>שניתנה</w:t>
      </w:r>
      <w:r w:rsidR="008C1A9A">
        <w:rPr>
          <w:rFonts w:cs="David" w:hint="cs"/>
          <w:sz w:val="24"/>
          <w:szCs w:val="24"/>
          <w:rtl/>
        </w:rPr>
        <w:t xml:space="preserve"> </w:t>
      </w:r>
      <w:r w:rsidR="00A75F69">
        <w:rPr>
          <w:rFonts w:cs="David" w:hint="cs"/>
          <w:sz w:val="24"/>
          <w:szCs w:val="24"/>
          <w:rtl/>
        </w:rPr>
        <w:t>בעניינה של</w:t>
      </w:r>
      <w:r w:rsidR="00DF1D67">
        <w:rPr>
          <w:rFonts w:cs="David" w:hint="cs"/>
          <w:sz w:val="24"/>
          <w:szCs w:val="24"/>
          <w:rtl/>
        </w:rPr>
        <w:t xml:space="preserve"> המבקשת בתיק אח</w:t>
      </w:r>
      <w:r w:rsidR="008C1A9A">
        <w:rPr>
          <w:rFonts w:cs="David" w:hint="cs"/>
          <w:sz w:val="24"/>
          <w:szCs w:val="24"/>
          <w:rtl/>
        </w:rPr>
        <w:t xml:space="preserve">ר (תיק מס. 113376, מיום 6.1.22, </w:t>
      </w:r>
      <w:r w:rsidR="00DF1D67">
        <w:rPr>
          <w:rFonts w:cs="David" w:hint="cs"/>
          <w:sz w:val="24"/>
          <w:szCs w:val="24"/>
          <w:rtl/>
        </w:rPr>
        <w:t>הדיין נעם ליובין), בו לא הופעל העונש המותנה</w:t>
      </w:r>
      <w:r w:rsidR="008C1A9A">
        <w:rPr>
          <w:rFonts w:cs="David" w:hint="cs"/>
          <w:sz w:val="24"/>
          <w:szCs w:val="24"/>
          <w:rtl/>
        </w:rPr>
        <w:t xml:space="preserve"> הנ"ל</w:t>
      </w:r>
      <w:r w:rsidR="00DF1D67">
        <w:rPr>
          <w:rFonts w:cs="David" w:hint="cs"/>
          <w:sz w:val="24"/>
          <w:szCs w:val="24"/>
          <w:rtl/>
        </w:rPr>
        <w:t xml:space="preserve">, </w:t>
      </w:r>
      <w:r w:rsidR="004735F6">
        <w:rPr>
          <w:rFonts w:cs="David" w:hint="cs"/>
          <w:sz w:val="24"/>
          <w:szCs w:val="24"/>
          <w:rtl/>
        </w:rPr>
        <w:t>לאחר</w:t>
      </w:r>
      <w:r w:rsidR="00DF1D67">
        <w:rPr>
          <w:rFonts w:cs="David" w:hint="cs"/>
          <w:sz w:val="24"/>
          <w:szCs w:val="24"/>
          <w:rtl/>
        </w:rPr>
        <w:t xml:space="preserve"> שהדיין המלומד קבע כי</w:t>
      </w:r>
      <w:r w:rsidR="00DF1D67" w:rsidRPr="00B3318B">
        <w:rPr>
          <w:rFonts w:cs="David" w:hint="cs"/>
          <w:b/>
          <w:bCs/>
          <w:sz w:val="24"/>
          <w:szCs w:val="24"/>
          <w:rtl/>
        </w:rPr>
        <w:t xml:space="preserve">: "בגין שתי העבירות, עונש התנאי לא מופעל מאחר ואין מדובר בהעמדתה לדין של הנאשמת </w:t>
      </w:r>
      <w:r w:rsidR="00DF1D67" w:rsidRPr="00B3318B">
        <w:rPr>
          <w:rFonts w:cs="David"/>
          <w:b/>
          <w:bCs/>
          <w:sz w:val="24"/>
          <w:szCs w:val="24"/>
        </w:rPr>
        <w:t>'</w:t>
      </w:r>
      <w:r w:rsidR="00DF1D67" w:rsidRPr="00B3318B">
        <w:rPr>
          <w:rFonts w:cs="David" w:hint="cs"/>
          <w:b/>
          <w:bCs/>
          <w:sz w:val="24"/>
          <w:szCs w:val="24"/>
          <w:rtl/>
        </w:rPr>
        <w:t>בנסיבות מחמירות</w:t>
      </w:r>
      <w:r w:rsidR="00DF1D67" w:rsidRPr="00B3318B">
        <w:rPr>
          <w:rFonts w:cs="David"/>
          <w:b/>
          <w:bCs/>
          <w:sz w:val="24"/>
          <w:szCs w:val="24"/>
        </w:rPr>
        <w:t>'</w:t>
      </w:r>
      <w:r w:rsidR="00DF1D67" w:rsidRPr="00B3318B">
        <w:rPr>
          <w:rFonts w:cs="David" w:hint="cs"/>
          <w:b/>
          <w:bCs/>
          <w:sz w:val="24"/>
          <w:szCs w:val="24"/>
          <w:rtl/>
        </w:rPr>
        <w:t>, הדרושות לשם הפעלת התנאי"</w:t>
      </w:r>
      <w:r w:rsidR="00B3318B">
        <w:rPr>
          <w:rFonts w:cs="David" w:hint="cs"/>
          <w:b/>
          <w:bCs/>
          <w:sz w:val="24"/>
          <w:szCs w:val="24"/>
          <w:rtl/>
        </w:rPr>
        <w:t>.</w:t>
      </w:r>
    </w:p>
    <w:p w:rsidR="00D54198" w:rsidRDefault="00D54198" w:rsidP="00345498">
      <w:pPr>
        <w:spacing w:line="240" w:lineRule="auto"/>
        <w:jc w:val="both"/>
        <w:rPr>
          <w:rFonts w:cs="David"/>
          <w:sz w:val="24"/>
          <w:szCs w:val="24"/>
          <w:rtl/>
        </w:rPr>
      </w:pPr>
    </w:p>
    <w:p w:rsidR="00B3318B" w:rsidRDefault="00D54198" w:rsidP="00345498">
      <w:pPr>
        <w:spacing w:line="240" w:lineRule="auto"/>
        <w:jc w:val="both"/>
        <w:rPr>
          <w:rFonts w:cs="David"/>
          <w:sz w:val="24"/>
          <w:szCs w:val="24"/>
          <w:rtl/>
        </w:rPr>
      </w:pPr>
      <w:r>
        <w:rPr>
          <w:rFonts w:cs="David" w:hint="cs"/>
          <w:sz w:val="24"/>
          <w:szCs w:val="24"/>
          <w:rtl/>
        </w:rPr>
        <w:t>5</w:t>
      </w:r>
      <w:r w:rsidR="00180F15">
        <w:rPr>
          <w:rFonts w:cs="David" w:hint="cs"/>
          <w:sz w:val="24"/>
          <w:szCs w:val="24"/>
          <w:rtl/>
        </w:rPr>
        <w:t xml:space="preserve">. לטענת ב"כ המבקשת: "החלטה זו של כבוד הדיין י, שמעוני, </w:t>
      </w:r>
      <w:r w:rsidR="00180F15" w:rsidRPr="00180F15">
        <w:rPr>
          <w:rFonts w:cs="David" w:hint="cs"/>
          <w:b/>
          <w:bCs/>
          <w:sz w:val="24"/>
          <w:szCs w:val="24"/>
          <w:u w:val="single"/>
          <w:rtl/>
        </w:rPr>
        <w:t>מנוגדת להחלטה החלוטה</w:t>
      </w:r>
      <w:r w:rsidR="00180F15">
        <w:rPr>
          <w:rFonts w:cs="David" w:hint="cs"/>
          <w:sz w:val="24"/>
          <w:szCs w:val="24"/>
          <w:rtl/>
        </w:rPr>
        <w:t xml:space="preserve"> לפיה התנאי, בנוגע להתפרעות אוהדים, יופעל אך ורק בנסיבות מחמירות" (ההדגשה במקור).</w:t>
      </w:r>
      <w:r w:rsidR="00A75F69">
        <w:rPr>
          <w:rFonts w:cs="David" w:hint="cs"/>
          <w:sz w:val="24"/>
          <w:szCs w:val="24"/>
          <w:rtl/>
        </w:rPr>
        <w:t xml:space="preserve"> מוסיף ב"כ המבקשת וטוען כי: "</w:t>
      </w:r>
      <w:r w:rsidR="00A75F69" w:rsidRPr="00A75F69">
        <w:rPr>
          <w:rFonts w:cs="David" w:hint="cs"/>
          <w:b/>
          <w:bCs/>
          <w:sz w:val="24"/>
          <w:szCs w:val="24"/>
          <w:rtl/>
        </w:rPr>
        <w:t>ההחלטה החלוטה מהווה השתק פלוגתא ומעשה בית דין".</w:t>
      </w:r>
    </w:p>
    <w:p w:rsidR="00F6116C" w:rsidRDefault="00180F15" w:rsidP="00F6116C">
      <w:pPr>
        <w:spacing w:line="240" w:lineRule="auto"/>
        <w:jc w:val="both"/>
        <w:rPr>
          <w:rFonts w:cs="David"/>
          <w:sz w:val="24"/>
          <w:szCs w:val="24"/>
          <w:rtl/>
        </w:rPr>
      </w:pPr>
      <w:r>
        <w:rPr>
          <w:rFonts w:cs="David" w:hint="cs"/>
          <w:sz w:val="24"/>
          <w:szCs w:val="24"/>
          <w:rtl/>
        </w:rPr>
        <w:t xml:space="preserve">6. </w:t>
      </w:r>
      <w:r w:rsidR="00343C17">
        <w:rPr>
          <w:rFonts w:cs="David" w:hint="cs"/>
          <w:sz w:val="24"/>
          <w:szCs w:val="24"/>
          <w:rtl/>
        </w:rPr>
        <w:t>תובע</w:t>
      </w:r>
      <w:r>
        <w:rPr>
          <w:rFonts w:cs="David" w:hint="cs"/>
          <w:sz w:val="24"/>
          <w:szCs w:val="24"/>
          <w:rtl/>
        </w:rPr>
        <w:t xml:space="preserve"> ההתאחדות, עו"ד </w:t>
      </w:r>
      <w:r w:rsidR="00343C17">
        <w:rPr>
          <w:rFonts w:cs="David" w:hint="cs"/>
          <w:sz w:val="24"/>
          <w:szCs w:val="24"/>
          <w:rtl/>
        </w:rPr>
        <w:t>ניר רשף</w:t>
      </w:r>
      <w:r>
        <w:rPr>
          <w:rFonts w:cs="David" w:hint="cs"/>
          <w:sz w:val="24"/>
          <w:szCs w:val="24"/>
          <w:rtl/>
        </w:rPr>
        <w:t>, מבקש לדחות את הבקשה, באשר לטע</w:t>
      </w:r>
      <w:r w:rsidR="00343C17">
        <w:rPr>
          <w:rFonts w:cs="David" w:hint="cs"/>
          <w:sz w:val="24"/>
          <w:szCs w:val="24"/>
          <w:rtl/>
        </w:rPr>
        <w:t xml:space="preserve">נתו, הפרשנות שנתן ביה"ד העליון </w:t>
      </w:r>
      <w:r>
        <w:rPr>
          <w:rFonts w:cs="David" w:hint="cs"/>
          <w:sz w:val="24"/>
          <w:szCs w:val="24"/>
          <w:rtl/>
        </w:rPr>
        <w:t>לעונש</w:t>
      </w:r>
      <w:r w:rsidR="008C1A9A">
        <w:rPr>
          <w:rFonts w:cs="David" w:hint="cs"/>
          <w:sz w:val="24"/>
          <w:szCs w:val="24"/>
          <w:rtl/>
        </w:rPr>
        <w:t xml:space="preserve"> על תנאי שהוטל בתיק 112847, הינה</w:t>
      </w:r>
      <w:r>
        <w:rPr>
          <w:rFonts w:cs="David" w:hint="cs"/>
          <w:sz w:val="24"/>
          <w:szCs w:val="24"/>
          <w:rtl/>
        </w:rPr>
        <w:t xml:space="preserve"> סביר</w:t>
      </w:r>
      <w:r w:rsidR="008C1A9A">
        <w:rPr>
          <w:rFonts w:cs="David" w:hint="cs"/>
          <w:sz w:val="24"/>
          <w:szCs w:val="24"/>
          <w:rtl/>
        </w:rPr>
        <w:t>ה</w:t>
      </w:r>
      <w:r>
        <w:rPr>
          <w:rFonts w:cs="David" w:hint="cs"/>
          <w:sz w:val="24"/>
          <w:szCs w:val="24"/>
          <w:rtl/>
        </w:rPr>
        <w:t xml:space="preserve"> </w:t>
      </w:r>
      <w:r w:rsidR="00343C17">
        <w:rPr>
          <w:rFonts w:cs="David" w:hint="cs"/>
          <w:sz w:val="24"/>
          <w:szCs w:val="24"/>
          <w:rtl/>
        </w:rPr>
        <w:t>ונכונה. עוד מוסיף התובע וטוען, כי הלכה למעשה, מ</w:t>
      </w:r>
      <w:r w:rsidR="00F6116C">
        <w:rPr>
          <w:rFonts w:cs="David" w:hint="cs"/>
          <w:sz w:val="24"/>
          <w:szCs w:val="24"/>
          <w:rtl/>
        </w:rPr>
        <w:t>הווה הבקשה לדיון נוסף ערעור</w:t>
      </w:r>
      <w:r w:rsidR="00343C17">
        <w:rPr>
          <w:rFonts w:cs="David" w:hint="cs"/>
          <w:sz w:val="24"/>
          <w:szCs w:val="24"/>
          <w:rtl/>
        </w:rPr>
        <w:t xml:space="preserve"> על פסיקת ביה"ד העליון, ו</w:t>
      </w:r>
      <w:r w:rsidR="00F6116C">
        <w:rPr>
          <w:rFonts w:cs="David" w:hint="cs"/>
          <w:sz w:val="24"/>
          <w:szCs w:val="24"/>
          <w:rtl/>
        </w:rPr>
        <w:t>לכן</w:t>
      </w:r>
      <w:r w:rsidR="00343C17">
        <w:rPr>
          <w:rFonts w:cs="David" w:hint="cs"/>
          <w:sz w:val="24"/>
          <w:szCs w:val="24"/>
          <w:rtl/>
        </w:rPr>
        <w:t xml:space="preserve"> אין להתיר זאת.</w:t>
      </w:r>
    </w:p>
    <w:p w:rsidR="00180F15" w:rsidRDefault="00180F15" w:rsidP="00345498">
      <w:pPr>
        <w:spacing w:line="240" w:lineRule="auto"/>
        <w:jc w:val="both"/>
        <w:rPr>
          <w:rFonts w:cs="David"/>
          <w:b/>
          <w:bCs/>
          <w:sz w:val="28"/>
          <w:szCs w:val="28"/>
          <w:u w:val="single"/>
          <w:rtl/>
        </w:rPr>
      </w:pPr>
      <w:r w:rsidRPr="00180F15">
        <w:rPr>
          <w:rFonts w:cs="David" w:hint="cs"/>
          <w:b/>
          <w:bCs/>
          <w:sz w:val="28"/>
          <w:szCs w:val="28"/>
          <w:u w:val="single"/>
          <w:rtl/>
        </w:rPr>
        <w:t>דיון והכרעה</w:t>
      </w:r>
    </w:p>
    <w:p w:rsidR="00C76E8F" w:rsidRPr="00C76E8F" w:rsidRDefault="00C76E8F" w:rsidP="00345498">
      <w:pPr>
        <w:spacing w:line="240" w:lineRule="auto"/>
        <w:jc w:val="both"/>
        <w:rPr>
          <w:rFonts w:cs="David"/>
          <w:sz w:val="24"/>
          <w:szCs w:val="24"/>
          <w:rtl/>
        </w:rPr>
      </w:pPr>
      <w:r w:rsidRPr="00C76E8F">
        <w:rPr>
          <w:rFonts w:cs="David" w:hint="cs"/>
          <w:sz w:val="24"/>
          <w:szCs w:val="24"/>
          <w:rtl/>
        </w:rPr>
        <w:t xml:space="preserve">7. לאחר ששקלתי </w:t>
      </w:r>
      <w:r>
        <w:rPr>
          <w:rFonts w:cs="David" w:hint="cs"/>
          <w:sz w:val="24"/>
          <w:szCs w:val="24"/>
          <w:rtl/>
        </w:rPr>
        <w:t>ב</w:t>
      </w:r>
      <w:r w:rsidRPr="00C76E8F">
        <w:rPr>
          <w:rFonts w:cs="David" w:hint="cs"/>
          <w:sz w:val="24"/>
          <w:szCs w:val="24"/>
          <w:rtl/>
        </w:rPr>
        <w:t>כובד ראש את טיעוני הצדדים בבקשה זו, ובחנתי את המצב המשפטי לאשורו</w:t>
      </w:r>
      <w:r>
        <w:rPr>
          <w:rFonts w:cs="David" w:hint="cs"/>
          <w:sz w:val="24"/>
          <w:szCs w:val="24"/>
          <w:rtl/>
        </w:rPr>
        <w:t xml:space="preserve">, הגעתי לכלל מסקנה כי דין הבקשה </w:t>
      </w:r>
      <w:r>
        <w:rPr>
          <w:rFonts w:cs="David"/>
          <w:sz w:val="24"/>
          <w:szCs w:val="24"/>
          <w:rtl/>
        </w:rPr>
        <w:t>–</w:t>
      </w:r>
      <w:r>
        <w:rPr>
          <w:rFonts w:cs="David" w:hint="cs"/>
          <w:sz w:val="24"/>
          <w:szCs w:val="24"/>
          <w:rtl/>
        </w:rPr>
        <w:t xml:space="preserve"> להידחות.</w:t>
      </w:r>
    </w:p>
    <w:p w:rsidR="007631AF" w:rsidRDefault="00B278A4" w:rsidP="00FD461D">
      <w:pPr>
        <w:spacing w:line="240" w:lineRule="auto"/>
        <w:contextualSpacing/>
        <w:rPr>
          <w:rFonts w:cs="David"/>
          <w:b/>
          <w:bCs/>
          <w:sz w:val="24"/>
          <w:szCs w:val="24"/>
          <w:rtl/>
        </w:rPr>
      </w:pPr>
      <w:r>
        <w:rPr>
          <w:rFonts w:cs="David" w:hint="cs"/>
          <w:sz w:val="24"/>
          <w:szCs w:val="24"/>
          <w:rtl/>
        </w:rPr>
        <w:t>8</w:t>
      </w:r>
      <w:r w:rsidR="00B50B1C">
        <w:rPr>
          <w:rFonts w:cs="David" w:hint="cs"/>
          <w:sz w:val="24"/>
          <w:szCs w:val="24"/>
          <w:rtl/>
        </w:rPr>
        <w:t xml:space="preserve">.  </w:t>
      </w:r>
      <w:r w:rsidR="00FD461D">
        <w:rPr>
          <w:rFonts w:cs="David" w:hint="cs"/>
          <w:sz w:val="24"/>
          <w:szCs w:val="24"/>
          <w:rtl/>
        </w:rPr>
        <w:t>בהתאם להוראות סעיף 6ה.3</w:t>
      </w:r>
      <w:r w:rsidR="00E33C56">
        <w:rPr>
          <w:rFonts w:cs="David" w:hint="cs"/>
          <w:sz w:val="24"/>
          <w:szCs w:val="24"/>
          <w:rtl/>
        </w:rPr>
        <w:t xml:space="preserve"> לתקנון ביה"ד העליון</w:t>
      </w:r>
      <w:r w:rsidR="00FD461D">
        <w:rPr>
          <w:rFonts w:cs="David" w:hint="cs"/>
          <w:sz w:val="24"/>
          <w:szCs w:val="24"/>
          <w:rtl/>
        </w:rPr>
        <w:t>, ניתן</w:t>
      </w:r>
      <w:r w:rsidR="005B7529">
        <w:rPr>
          <w:rFonts w:cs="David" w:hint="cs"/>
          <w:sz w:val="24"/>
          <w:szCs w:val="24"/>
          <w:rtl/>
        </w:rPr>
        <w:t xml:space="preserve"> להחליט על קיומו של דיון נוסף אם</w:t>
      </w:r>
      <w:r w:rsidR="00FD461D">
        <w:rPr>
          <w:rFonts w:cs="David" w:hint="cs"/>
          <w:sz w:val="24"/>
          <w:szCs w:val="24"/>
          <w:rtl/>
        </w:rPr>
        <w:t xml:space="preserve">: </w:t>
      </w:r>
      <w:r w:rsidR="00FD461D" w:rsidRPr="00FD461D">
        <w:rPr>
          <w:rFonts w:cs="David" w:hint="cs"/>
          <w:b/>
          <w:bCs/>
          <w:sz w:val="24"/>
          <w:szCs w:val="24"/>
          <w:rtl/>
        </w:rPr>
        <w:t>"נשוא הערעור מעורר סוגיה מ</w:t>
      </w:r>
      <w:r w:rsidR="00F50075">
        <w:rPr>
          <w:rFonts w:cs="David" w:hint="cs"/>
          <w:b/>
          <w:bCs/>
          <w:sz w:val="24"/>
          <w:szCs w:val="24"/>
          <w:rtl/>
        </w:rPr>
        <w:t>שפטית שיש בה מן החידוש והמצריכה</w:t>
      </w:r>
      <w:r w:rsidR="00FD461D" w:rsidRPr="00FD461D">
        <w:rPr>
          <w:rFonts w:cs="David" w:hint="cs"/>
          <w:b/>
          <w:bCs/>
          <w:sz w:val="24"/>
          <w:szCs w:val="24"/>
          <w:rtl/>
        </w:rPr>
        <w:t xml:space="preserve"> קביעת הלכה עקרונית".</w:t>
      </w:r>
    </w:p>
    <w:p w:rsidR="00712287" w:rsidRDefault="00712287" w:rsidP="00FD461D">
      <w:pPr>
        <w:spacing w:line="240" w:lineRule="auto"/>
        <w:contextualSpacing/>
        <w:rPr>
          <w:rFonts w:cs="David"/>
          <w:b/>
          <w:bCs/>
          <w:sz w:val="24"/>
          <w:szCs w:val="24"/>
          <w:rtl/>
        </w:rPr>
      </w:pPr>
    </w:p>
    <w:p w:rsidR="00343C17" w:rsidRDefault="00A75F69" w:rsidP="00343C17">
      <w:pPr>
        <w:spacing w:line="240" w:lineRule="auto"/>
        <w:contextualSpacing/>
        <w:rPr>
          <w:rFonts w:cs="David"/>
          <w:sz w:val="24"/>
          <w:szCs w:val="24"/>
          <w:rtl/>
        </w:rPr>
      </w:pPr>
      <w:r w:rsidRPr="00A75F69">
        <w:rPr>
          <w:rFonts w:cs="David" w:hint="cs"/>
          <w:sz w:val="24"/>
          <w:szCs w:val="24"/>
          <w:rtl/>
        </w:rPr>
        <w:t>לא מצאתי במקרה דנן</w:t>
      </w:r>
      <w:r>
        <w:rPr>
          <w:rFonts w:cs="David" w:hint="cs"/>
          <w:sz w:val="24"/>
          <w:szCs w:val="24"/>
          <w:rtl/>
        </w:rPr>
        <w:t xml:space="preserve"> כי פסיקת ביה"ד העליון מעוררת סוגיה משפטית שיש בה מן החידוש, ואף לא שהיא מצריכה </w:t>
      </w:r>
      <w:r w:rsidR="00712287">
        <w:rPr>
          <w:rFonts w:cs="David" w:hint="cs"/>
          <w:sz w:val="24"/>
          <w:szCs w:val="24"/>
          <w:rtl/>
        </w:rPr>
        <w:t>קביעת הלכה</w:t>
      </w:r>
      <w:r>
        <w:rPr>
          <w:rFonts w:cs="David" w:hint="cs"/>
          <w:sz w:val="24"/>
          <w:szCs w:val="24"/>
          <w:rtl/>
        </w:rPr>
        <w:t xml:space="preserve"> עקרונית. מדובר, בעיניי בפרשנות ראויה וסבירה שנתן ביה"ד העליון להחלטה של ביה"ד המשמעתי בדבר העונש המותנה שהו</w:t>
      </w:r>
      <w:r w:rsidR="00712287">
        <w:rPr>
          <w:rFonts w:cs="David" w:hint="cs"/>
          <w:sz w:val="24"/>
          <w:szCs w:val="24"/>
          <w:rtl/>
        </w:rPr>
        <w:t>פעל</w:t>
      </w:r>
      <w:r>
        <w:rPr>
          <w:rFonts w:cs="David" w:hint="cs"/>
          <w:sz w:val="24"/>
          <w:szCs w:val="24"/>
          <w:rtl/>
        </w:rPr>
        <w:t xml:space="preserve"> על ידו, ואין בכך משום חידוש או צורך בקביעת הלכה עקרונית כלשהי. </w:t>
      </w:r>
    </w:p>
    <w:p w:rsidR="00343C17" w:rsidRDefault="00343C17" w:rsidP="00343C17">
      <w:pPr>
        <w:spacing w:line="240" w:lineRule="auto"/>
        <w:contextualSpacing/>
        <w:rPr>
          <w:rFonts w:cs="David"/>
          <w:sz w:val="24"/>
          <w:szCs w:val="24"/>
          <w:rtl/>
        </w:rPr>
      </w:pPr>
    </w:p>
    <w:p w:rsidR="00A75F69" w:rsidRDefault="00A75F69" w:rsidP="00343C17">
      <w:pPr>
        <w:spacing w:line="240" w:lineRule="auto"/>
        <w:contextualSpacing/>
        <w:rPr>
          <w:rFonts w:cs="David"/>
          <w:sz w:val="24"/>
          <w:szCs w:val="24"/>
          <w:rtl/>
        </w:rPr>
      </w:pPr>
      <w:r>
        <w:rPr>
          <w:rFonts w:cs="David" w:hint="cs"/>
          <w:sz w:val="24"/>
          <w:szCs w:val="24"/>
          <w:rtl/>
        </w:rPr>
        <w:t xml:space="preserve">ויודגש, כי גם אם טעה ביה"ד העליון בפרשנות החלטת ביה"ד המשמעתי </w:t>
      </w:r>
      <w:r>
        <w:rPr>
          <w:rFonts w:cs="David"/>
          <w:sz w:val="24"/>
          <w:szCs w:val="24"/>
          <w:rtl/>
        </w:rPr>
        <w:t>–</w:t>
      </w:r>
      <w:r>
        <w:rPr>
          <w:rFonts w:cs="David" w:hint="cs"/>
          <w:sz w:val="24"/>
          <w:szCs w:val="24"/>
          <w:rtl/>
        </w:rPr>
        <w:t xml:space="preserve"> וכאמור, איני סבור כך, כל עיקר </w:t>
      </w:r>
      <w:r>
        <w:rPr>
          <w:rFonts w:cs="David"/>
          <w:sz w:val="24"/>
          <w:szCs w:val="24"/>
          <w:rtl/>
        </w:rPr>
        <w:t>–</w:t>
      </w:r>
      <w:r>
        <w:rPr>
          <w:rFonts w:cs="David" w:hint="cs"/>
          <w:sz w:val="24"/>
          <w:szCs w:val="24"/>
          <w:rtl/>
        </w:rPr>
        <w:t xml:space="preserve"> עדיין אין בכך כדי להוות עילה לקיומו של דיון נוסף.</w:t>
      </w:r>
      <w:r w:rsidR="00343C17">
        <w:rPr>
          <w:rFonts w:cs="David" w:hint="cs"/>
          <w:sz w:val="24"/>
          <w:szCs w:val="24"/>
          <w:rtl/>
        </w:rPr>
        <w:t xml:space="preserve"> מוסד הדיון הנוסף לא נועד ל"מקצה שיפורים", כאשר בעל דין אינו שבע רצון מהכרעת ביה"ד העליון, אלא הוא קובע תנאים מיוחדים וקפדניים לקיומו, </w:t>
      </w:r>
      <w:r w:rsidR="00F6116C">
        <w:rPr>
          <w:rFonts w:cs="David" w:hint="cs"/>
          <w:sz w:val="24"/>
          <w:szCs w:val="24"/>
          <w:rtl/>
        </w:rPr>
        <w:t xml:space="preserve">כמפורט לעיל, </w:t>
      </w:r>
      <w:r w:rsidR="00343C17">
        <w:rPr>
          <w:rFonts w:cs="David" w:hint="cs"/>
          <w:sz w:val="24"/>
          <w:szCs w:val="24"/>
          <w:rtl/>
        </w:rPr>
        <w:t>ואלה לא התקיימו במקרה דנן.</w:t>
      </w:r>
    </w:p>
    <w:p w:rsidR="00A75F69" w:rsidRDefault="00A75F69" w:rsidP="00A75F69">
      <w:pPr>
        <w:spacing w:line="240" w:lineRule="auto"/>
        <w:contextualSpacing/>
        <w:rPr>
          <w:rFonts w:cs="David"/>
          <w:sz w:val="24"/>
          <w:szCs w:val="24"/>
          <w:rtl/>
        </w:rPr>
      </w:pPr>
    </w:p>
    <w:p w:rsidR="00A75F69" w:rsidRDefault="00B278A4" w:rsidP="00712287">
      <w:pPr>
        <w:spacing w:line="240" w:lineRule="auto"/>
        <w:contextualSpacing/>
        <w:rPr>
          <w:rFonts w:cs="David"/>
          <w:sz w:val="24"/>
          <w:szCs w:val="24"/>
          <w:rtl/>
        </w:rPr>
      </w:pPr>
      <w:r>
        <w:rPr>
          <w:rFonts w:cs="David" w:hint="cs"/>
          <w:sz w:val="24"/>
          <w:szCs w:val="24"/>
          <w:rtl/>
        </w:rPr>
        <w:t>9</w:t>
      </w:r>
      <w:r w:rsidR="00A75F69">
        <w:rPr>
          <w:rFonts w:cs="David" w:hint="cs"/>
          <w:sz w:val="24"/>
          <w:szCs w:val="24"/>
          <w:rtl/>
        </w:rPr>
        <w:t xml:space="preserve">. </w:t>
      </w:r>
      <w:r w:rsidR="00D54198">
        <w:rPr>
          <w:rFonts w:cs="David" w:hint="cs"/>
          <w:sz w:val="24"/>
          <w:szCs w:val="24"/>
          <w:rtl/>
        </w:rPr>
        <w:t xml:space="preserve">טענת </w:t>
      </w:r>
      <w:r w:rsidR="00A75F69">
        <w:rPr>
          <w:rFonts w:cs="David" w:hint="cs"/>
          <w:sz w:val="24"/>
          <w:szCs w:val="24"/>
          <w:rtl/>
        </w:rPr>
        <w:t xml:space="preserve">המבקשת כי </w:t>
      </w:r>
      <w:r w:rsidR="00D54198">
        <w:rPr>
          <w:rFonts w:cs="David" w:hint="cs"/>
          <w:sz w:val="24"/>
          <w:szCs w:val="24"/>
          <w:rtl/>
        </w:rPr>
        <w:t>"</w:t>
      </w:r>
      <w:r w:rsidR="00A75F69" w:rsidRPr="00D54198">
        <w:rPr>
          <w:rFonts w:cs="David" w:hint="cs"/>
          <w:b/>
          <w:bCs/>
          <w:sz w:val="24"/>
          <w:szCs w:val="24"/>
          <w:rtl/>
        </w:rPr>
        <w:t>ההחלטה החלוטה מהווה השתק פלוגתא ומעשה בית דין</w:t>
      </w:r>
      <w:r w:rsidR="00D54198">
        <w:rPr>
          <w:rFonts w:cs="David" w:hint="cs"/>
          <w:sz w:val="24"/>
          <w:szCs w:val="24"/>
          <w:rtl/>
        </w:rPr>
        <w:t>"</w:t>
      </w:r>
      <w:r w:rsidR="00A75F69">
        <w:rPr>
          <w:rFonts w:cs="David" w:hint="cs"/>
          <w:sz w:val="24"/>
          <w:szCs w:val="24"/>
          <w:rtl/>
        </w:rPr>
        <w:t xml:space="preserve"> ועל כן </w:t>
      </w:r>
      <w:r w:rsidR="00A75F69" w:rsidRPr="00D54198">
        <w:rPr>
          <w:rFonts w:cs="David" w:hint="cs"/>
          <w:b/>
          <w:bCs/>
          <w:sz w:val="24"/>
          <w:szCs w:val="24"/>
          <w:rtl/>
        </w:rPr>
        <w:t>"שגה</w:t>
      </w:r>
      <w:r w:rsidR="00A75F69">
        <w:rPr>
          <w:rFonts w:cs="David" w:hint="cs"/>
          <w:sz w:val="24"/>
          <w:szCs w:val="24"/>
          <w:rtl/>
        </w:rPr>
        <w:t xml:space="preserve"> </w:t>
      </w:r>
      <w:r w:rsidR="00A75F69" w:rsidRPr="00D54198">
        <w:rPr>
          <w:rFonts w:cs="David" w:hint="cs"/>
          <w:b/>
          <w:bCs/>
          <w:sz w:val="24"/>
          <w:szCs w:val="24"/>
          <w:rtl/>
        </w:rPr>
        <w:t>ביה"ד העליון</w:t>
      </w:r>
      <w:r w:rsidR="00D54198" w:rsidRPr="00D54198">
        <w:rPr>
          <w:rFonts w:cs="David" w:hint="cs"/>
          <w:b/>
          <w:bCs/>
          <w:sz w:val="24"/>
          <w:szCs w:val="24"/>
          <w:rtl/>
        </w:rPr>
        <w:t xml:space="preserve"> כאשר פירש את ההחלטה שעה שהיוותה כבר מעשה בית דין וחלוט"</w:t>
      </w:r>
      <w:r w:rsidR="00D54198">
        <w:rPr>
          <w:rFonts w:cs="David" w:hint="cs"/>
          <w:sz w:val="24"/>
          <w:szCs w:val="24"/>
          <w:rtl/>
        </w:rPr>
        <w:t xml:space="preserve"> </w:t>
      </w:r>
      <w:r w:rsidR="00D54198">
        <w:rPr>
          <w:rFonts w:cs="David"/>
          <w:sz w:val="24"/>
          <w:szCs w:val="24"/>
          <w:rtl/>
        </w:rPr>
        <w:t>–</w:t>
      </w:r>
      <w:r w:rsidR="00D54198">
        <w:rPr>
          <w:rFonts w:cs="David" w:hint="cs"/>
          <w:sz w:val="24"/>
          <w:szCs w:val="24"/>
          <w:rtl/>
        </w:rPr>
        <w:t xml:space="preserve"> אינה מקובלת עליי, כלל ועיקר. עם כל הכבוד לשימוש במונחים הלקוחים, כל כולם, מהמישור האזרחי, עסקינן בהליכים משמעתיים אשר בהם חלים כללים שונים, מש</w:t>
      </w:r>
      <w:r w:rsidR="004735F6">
        <w:rPr>
          <w:rFonts w:cs="David" w:hint="cs"/>
          <w:sz w:val="24"/>
          <w:szCs w:val="24"/>
          <w:rtl/>
        </w:rPr>
        <w:t xml:space="preserve">הו. ראשית, נשאלת השאלה </w:t>
      </w:r>
      <w:r w:rsidR="004735F6">
        <w:rPr>
          <w:rFonts w:cs="David"/>
          <w:sz w:val="24"/>
          <w:szCs w:val="24"/>
          <w:rtl/>
        </w:rPr>
        <w:t>–</w:t>
      </w:r>
      <w:r w:rsidR="004735F6">
        <w:rPr>
          <w:rFonts w:cs="David" w:hint="cs"/>
          <w:sz w:val="24"/>
          <w:szCs w:val="24"/>
          <w:rtl/>
        </w:rPr>
        <w:t xml:space="preserve"> "החלטה </w:t>
      </w:r>
      <w:r w:rsidR="00D54198">
        <w:rPr>
          <w:rFonts w:cs="David" w:hint="cs"/>
          <w:sz w:val="24"/>
          <w:szCs w:val="24"/>
          <w:rtl/>
        </w:rPr>
        <w:t>חלוטה" או "השתק פלוגתא", בין מי למי? לכל היותר</w:t>
      </w:r>
      <w:r w:rsidR="00712287">
        <w:rPr>
          <w:rFonts w:cs="David" w:hint="cs"/>
          <w:sz w:val="24"/>
          <w:szCs w:val="24"/>
          <w:rtl/>
        </w:rPr>
        <w:t>,</w:t>
      </w:r>
      <w:r w:rsidR="00D54198">
        <w:rPr>
          <w:rFonts w:cs="David" w:hint="cs"/>
          <w:sz w:val="24"/>
          <w:szCs w:val="24"/>
          <w:rtl/>
        </w:rPr>
        <w:t xml:space="preserve"> בין הצדדים עצמם </w:t>
      </w:r>
      <w:r w:rsidR="00D54198" w:rsidRPr="00D54198">
        <w:rPr>
          <w:rFonts w:cs="David" w:hint="cs"/>
          <w:b/>
          <w:bCs/>
          <w:sz w:val="24"/>
          <w:szCs w:val="24"/>
          <w:rtl/>
        </w:rPr>
        <w:t>בהליך הספציפי</w:t>
      </w:r>
      <w:r w:rsidR="00D54198">
        <w:rPr>
          <w:rFonts w:cs="David" w:hint="cs"/>
          <w:sz w:val="24"/>
          <w:szCs w:val="24"/>
          <w:rtl/>
        </w:rPr>
        <w:t xml:space="preserve"> שהתנהל ביניהם בעבר. אך כלום החלטות מסוימות של ביה"ד המשמעתי</w:t>
      </w:r>
      <w:r w:rsidR="00B91916">
        <w:rPr>
          <w:rFonts w:cs="David" w:hint="cs"/>
          <w:sz w:val="24"/>
          <w:szCs w:val="24"/>
          <w:rtl/>
        </w:rPr>
        <w:t>, כאלה או אחרות,</w:t>
      </w:r>
      <w:r w:rsidR="00D54198">
        <w:rPr>
          <w:rFonts w:cs="David" w:hint="cs"/>
          <w:sz w:val="24"/>
          <w:szCs w:val="24"/>
          <w:rtl/>
        </w:rPr>
        <w:t xml:space="preserve"> </w:t>
      </w:r>
      <w:r w:rsidR="00B91916">
        <w:rPr>
          <w:rFonts w:cs="David" w:hint="cs"/>
          <w:sz w:val="24"/>
          <w:szCs w:val="24"/>
          <w:rtl/>
        </w:rPr>
        <w:t xml:space="preserve">מחייבות </w:t>
      </w:r>
      <w:r w:rsidR="00712287">
        <w:rPr>
          <w:rFonts w:cs="David" w:hint="cs"/>
          <w:sz w:val="24"/>
          <w:szCs w:val="24"/>
          <w:rtl/>
        </w:rPr>
        <w:t>הרכב אחר של</w:t>
      </w:r>
      <w:r w:rsidR="00B91916">
        <w:rPr>
          <w:rFonts w:cs="David" w:hint="cs"/>
          <w:sz w:val="24"/>
          <w:szCs w:val="24"/>
          <w:rtl/>
        </w:rPr>
        <w:t xml:space="preserve"> בית דין המשמעתי עצמו - או שמא את ביה"ד העליון -</w:t>
      </w:r>
      <w:r w:rsidR="00D54198">
        <w:rPr>
          <w:rFonts w:cs="David" w:hint="cs"/>
          <w:sz w:val="24"/>
          <w:szCs w:val="24"/>
          <w:rtl/>
        </w:rPr>
        <w:t xml:space="preserve"> היושב כערכאת ערעור על בתי הדין המשמעתיים? התשובה לכך היא שלילית בתכלית.</w:t>
      </w:r>
    </w:p>
    <w:p w:rsidR="00B91916" w:rsidRDefault="00B91916" w:rsidP="00D54198">
      <w:pPr>
        <w:spacing w:line="240" w:lineRule="auto"/>
        <w:contextualSpacing/>
        <w:rPr>
          <w:rFonts w:cs="David"/>
          <w:sz w:val="24"/>
          <w:szCs w:val="24"/>
          <w:rtl/>
        </w:rPr>
      </w:pPr>
    </w:p>
    <w:p w:rsidR="00B91916" w:rsidRDefault="00B278A4" w:rsidP="00E47D45">
      <w:pPr>
        <w:spacing w:line="240" w:lineRule="auto"/>
        <w:contextualSpacing/>
        <w:rPr>
          <w:rFonts w:cs="David"/>
          <w:sz w:val="24"/>
          <w:szCs w:val="24"/>
          <w:rtl/>
        </w:rPr>
      </w:pPr>
      <w:r>
        <w:rPr>
          <w:rFonts w:cs="David" w:hint="cs"/>
          <w:sz w:val="24"/>
          <w:szCs w:val="24"/>
          <w:rtl/>
        </w:rPr>
        <w:t>10</w:t>
      </w:r>
      <w:r w:rsidR="00B91916">
        <w:rPr>
          <w:rFonts w:cs="David" w:hint="cs"/>
          <w:sz w:val="24"/>
          <w:szCs w:val="24"/>
          <w:rtl/>
        </w:rPr>
        <w:t xml:space="preserve">. סעיף </w:t>
      </w:r>
      <w:r w:rsidR="00B95F71">
        <w:rPr>
          <w:rFonts w:cs="David" w:hint="cs"/>
          <w:sz w:val="24"/>
          <w:szCs w:val="24"/>
          <w:rtl/>
        </w:rPr>
        <w:t>2</w:t>
      </w:r>
      <w:r w:rsidR="00B91916">
        <w:rPr>
          <w:rFonts w:cs="David" w:hint="cs"/>
          <w:sz w:val="24"/>
          <w:szCs w:val="24"/>
          <w:rtl/>
        </w:rPr>
        <w:t xml:space="preserve">0 לחוק </w:t>
      </w:r>
      <w:r w:rsidR="00B95F71">
        <w:rPr>
          <w:rFonts w:cs="David" w:hint="cs"/>
          <w:sz w:val="24"/>
          <w:szCs w:val="24"/>
          <w:rtl/>
        </w:rPr>
        <w:t>יסו</w:t>
      </w:r>
      <w:r w:rsidR="00E47D45">
        <w:rPr>
          <w:rFonts w:cs="David" w:hint="cs"/>
          <w:sz w:val="24"/>
          <w:szCs w:val="24"/>
          <w:rtl/>
        </w:rPr>
        <w:t>ד</w:t>
      </w:r>
      <w:r w:rsidR="00B95F71">
        <w:rPr>
          <w:rFonts w:cs="David" w:hint="cs"/>
          <w:sz w:val="24"/>
          <w:szCs w:val="24"/>
          <w:rtl/>
        </w:rPr>
        <w:t xml:space="preserve">: </w:t>
      </w:r>
      <w:r w:rsidR="00B91916">
        <w:rPr>
          <w:rFonts w:cs="David" w:hint="cs"/>
          <w:sz w:val="24"/>
          <w:szCs w:val="24"/>
          <w:rtl/>
        </w:rPr>
        <w:t>השפיטה</w:t>
      </w:r>
      <w:r w:rsidR="007436C6">
        <w:rPr>
          <w:rFonts w:cs="David" w:hint="cs"/>
          <w:sz w:val="24"/>
          <w:szCs w:val="24"/>
          <w:rtl/>
        </w:rPr>
        <w:t xml:space="preserve"> </w:t>
      </w:r>
      <w:r w:rsidR="00E47D45">
        <w:rPr>
          <w:rFonts w:cs="David" w:hint="cs"/>
          <w:sz w:val="24"/>
          <w:szCs w:val="24"/>
          <w:rtl/>
        </w:rPr>
        <w:t>קובע לאמור</w:t>
      </w:r>
      <w:r w:rsidR="00B95F71">
        <w:rPr>
          <w:rFonts w:cs="David" w:hint="cs"/>
          <w:sz w:val="24"/>
          <w:szCs w:val="24"/>
          <w:rtl/>
        </w:rPr>
        <w:t>:</w:t>
      </w:r>
    </w:p>
    <w:p w:rsidR="00E47D45" w:rsidRDefault="00E47D45" w:rsidP="00B95F71">
      <w:pPr>
        <w:spacing w:line="240" w:lineRule="auto"/>
        <w:contextualSpacing/>
        <w:rPr>
          <w:rFonts w:cs="David"/>
          <w:sz w:val="24"/>
          <w:szCs w:val="24"/>
          <w:rtl/>
        </w:rPr>
      </w:pPr>
    </w:p>
    <w:p w:rsidR="00E47D45" w:rsidRDefault="00E47D45" w:rsidP="00B95F71">
      <w:pPr>
        <w:spacing w:line="240" w:lineRule="auto"/>
        <w:contextualSpacing/>
        <w:rPr>
          <w:rFonts w:cs="David"/>
          <w:b/>
          <w:bCs/>
          <w:sz w:val="24"/>
          <w:szCs w:val="24"/>
          <w:rtl/>
        </w:rPr>
      </w:pPr>
      <w:r w:rsidRPr="00E47D45">
        <w:rPr>
          <w:rFonts w:cs="David" w:hint="cs"/>
          <w:b/>
          <w:bCs/>
          <w:sz w:val="24"/>
          <w:szCs w:val="24"/>
          <w:rtl/>
        </w:rPr>
        <w:t>"(א) הלכה שנפסקה בבית משפט תנחה בית משפט</w:t>
      </w:r>
      <w:r>
        <w:rPr>
          <w:rFonts w:cs="David" w:hint="cs"/>
          <w:b/>
          <w:bCs/>
          <w:sz w:val="24"/>
          <w:szCs w:val="24"/>
          <w:rtl/>
        </w:rPr>
        <w:t xml:space="preserve"> </w:t>
      </w:r>
      <w:r w:rsidRPr="00E47D45">
        <w:rPr>
          <w:rFonts w:cs="David" w:hint="cs"/>
          <w:b/>
          <w:bCs/>
          <w:sz w:val="24"/>
          <w:szCs w:val="24"/>
          <w:rtl/>
        </w:rPr>
        <w:t>של דרגה נמוכה ממנו.</w:t>
      </w:r>
    </w:p>
    <w:p w:rsidR="007436C6" w:rsidRPr="00E47D45" w:rsidRDefault="007436C6" w:rsidP="00B95F71">
      <w:pPr>
        <w:spacing w:line="240" w:lineRule="auto"/>
        <w:contextualSpacing/>
        <w:rPr>
          <w:rFonts w:cs="David"/>
          <w:b/>
          <w:bCs/>
          <w:sz w:val="24"/>
          <w:szCs w:val="24"/>
          <w:rtl/>
        </w:rPr>
      </w:pPr>
    </w:p>
    <w:p w:rsidR="00E47D45" w:rsidRDefault="00E47D45" w:rsidP="00B95F71">
      <w:pPr>
        <w:spacing w:line="240" w:lineRule="auto"/>
        <w:contextualSpacing/>
        <w:rPr>
          <w:rFonts w:cs="David"/>
          <w:b/>
          <w:bCs/>
          <w:sz w:val="24"/>
          <w:szCs w:val="24"/>
          <w:rtl/>
        </w:rPr>
      </w:pPr>
      <w:r w:rsidRPr="00E47D45">
        <w:rPr>
          <w:rFonts w:cs="David" w:hint="cs"/>
          <w:b/>
          <w:bCs/>
          <w:sz w:val="24"/>
          <w:szCs w:val="24"/>
          <w:rtl/>
        </w:rPr>
        <w:t>(ב) הלכה שנפסקה בבית המשפט העליון</w:t>
      </w:r>
      <w:r>
        <w:rPr>
          <w:rFonts w:cs="David" w:hint="cs"/>
          <w:b/>
          <w:bCs/>
          <w:sz w:val="24"/>
          <w:szCs w:val="24"/>
          <w:rtl/>
        </w:rPr>
        <w:t xml:space="preserve"> </w:t>
      </w:r>
      <w:r w:rsidRPr="00E47D45">
        <w:rPr>
          <w:rFonts w:cs="David" w:hint="cs"/>
          <w:b/>
          <w:bCs/>
          <w:sz w:val="24"/>
          <w:szCs w:val="24"/>
          <w:rtl/>
        </w:rPr>
        <w:t>מחייבת כל בית משפט, זולת בית המשפט העליון"</w:t>
      </w:r>
      <w:r>
        <w:rPr>
          <w:rFonts w:cs="David" w:hint="cs"/>
          <w:b/>
          <w:bCs/>
          <w:sz w:val="24"/>
          <w:szCs w:val="24"/>
          <w:rtl/>
        </w:rPr>
        <w:t>.</w:t>
      </w:r>
    </w:p>
    <w:p w:rsidR="00E47D45" w:rsidRDefault="00E47D45" w:rsidP="00B95F71">
      <w:pPr>
        <w:spacing w:line="240" w:lineRule="auto"/>
        <w:contextualSpacing/>
        <w:rPr>
          <w:rFonts w:cs="David"/>
          <w:b/>
          <w:bCs/>
          <w:sz w:val="24"/>
          <w:szCs w:val="24"/>
          <w:rtl/>
        </w:rPr>
      </w:pPr>
    </w:p>
    <w:p w:rsidR="007436C6" w:rsidRDefault="00E47D45" w:rsidP="00E47D45">
      <w:pPr>
        <w:spacing w:line="240" w:lineRule="auto"/>
        <w:contextualSpacing/>
        <w:rPr>
          <w:rFonts w:cs="David"/>
          <w:sz w:val="24"/>
          <w:szCs w:val="24"/>
          <w:rtl/>
        </w:rPr>
      </w:pPr>
      <w:r>
        <w:rPr>
          <w:rFonts w:cs="David" w:hint="cs"/>
          <w:sz w:val="24"/>
          <w:szCs w:val="24"/>
          <w:rtl/>
        </w:rPr>
        <w:t xml:space="preserve">על דרך הכלל הפרשני של היקש (אנלוגיה), יש מקום להתייחס להוראות הסעיף הנ"ל כישימות גם לגבי ההליכים המשמעתיים במערכת השפיטה של ההתאחדות לכדורגל. אמור מעתה, החלטות של ביה"ד המשמעתי, כערכאה ראשונה </w:t>
      </w:r>
      <w:r w:rsidR="007436C6">
        <w:rPr>
          <w:rFonts w:cs="David" w:hint="cs"/>
          <w:sz w:val="24"/>
          <w:szCs w:val="24"/>
          <w:rtl/>
        </w:rPr>
        <w:t>(</w:t>
      </w:r>
      <w:r>
        <w:rPr>
          <w:rFonts w:cs="David" w:hint="cs"/>
          <w:sz w:val="24"/>
          <w:szCs w:val="24"/>
          <w:rtl/>
        </w:rPr>
        <w:t>גם אם מדובר בהחלטה "חלוטה", כהגדרת עו"ד בן-אסא</w:t>
      </w:r>
      <w:r w:rsidR="007436C6">
        <w:rPr>
          <w:rFonts w:cs="David" w:hint="cs"/>
          <w:sz w:val="24"/>
          <w:szCs w:val="24"/>
          <w:rtl/>
        </w:rPr>
        <w:t>),</w:t>
      </w:r>
      <w:r>
        <w:rPr>
          <w:rFonts w:cs="David" w:hint="cs"/>
          <w:sz w:val="24"/>
          <w:szCs w:val="24"/>
          <w:rtl/>
        </w:rPr>
        <w:t xml:space="preserve"> </w:t>
      </w:r>
      <w:r w:rsidRPr="007436C6">
        <w:rPr>
          <w:rFonts w:cs="David" w:hint="cs"/>
          <w:b/>
          <w:bCs/>
          <w:sz w:val="24"/>
          <w:szCs w:val="24"/>
          <w:rtl/>
        </w:rPr>
        <w:t>אינן מחייבות, בשום צורה ואופן, את ביה"ד העליון</w:t>
      </w:r>
      <w:r>
        <w:rPr>
          <w:rFonts w:cs="David" w:hint="cs"/>
          <w:sz w:val="24"/>
          <w:szCs w:val="24"/>
          <w:rtl/>
        </w:rPr>
        <w:t xml:space="preserve">. </w:t>
      </w:r>
    </w:p>
    <w:p w:rsidR="007436C6" w:rsidRDefault="007436C6" w:rsidP="00E47D45">
      <w:pPr>
        <w:spacing w:line="240" w:lineRule="auto"/>
        <w:contextualSpacing/>
        <w:rPr>
          <w:rFonts w:cs="David"/>
          <w:sz w:val="24"/>
          <w:szCs w:val="24"/>
          <w:rtl/>
        </w:rPr>
      </w:pPr>
    </w:p>
    <w:p w:rsidR="00343C17" w:rsidRDefault="00343C17" w:rsidP="00E47D45">
      <w:pPr>
        <w:spacing w:line="240" w:lineRule="auto"/>
        <w:contextualSpacing/>
        <w:rPr>
          <w:rFonts w:cs="David"/>
          <w:sz w:val="24"/>
          <w:szCs w:val="24"/>
          <w:rtl/>
        </w:rPr>
      </w:pPr>
    </w:p>
    <w:p w:rsidR="00343C17" w:rsidRDefault="00343C17" w:rsidP="00E47D45">
      <w:pPr>
        <w:spacing w:line="240" w:lineRule="auto"/>
        <w:contextualSpacing/>
        <w:rPr>
          <w:rFonts w:cs="David"/>
          <w:sz w:val="24"/>
          <w:szCs w:val="24"/>
          <w:rtl/>
        </w:rPr>
      </w:pPr>
    </w:p>
    <w:p w:rsidR="00E47D45" w:rsidRDefault="00E47D45" w:rsidP="00E47D45">
      <w:pPr>
        <w:spacing w:line="240" w:lineRule="auto"/>
        <w:contextualSpacing/>
        <w:rPr>
          <w:rFonts w:cs="David"/>
          <w:b/>
          <w:bCs/>
          <w:sz w:val="24"/>
          <w:szCs w:val="24"/>
          <w:rtl/>
        </w:rPr>
      </w:pPr>
      <w:r>
        <w:rPr>
          <w:rFonts w:cs="David" w:hint="cs"/>
          <w:sz w:val="24"/>
          <w:szCs w:val="24"/>
          <w:rtl/>
        </w:rPr>
        <w:t xml:space="preserve">ביה"ד העליון  הוא </w:t>
      </w:r>
      <w:r w:rsidRPr="003A5668">
        <w:rPr>
          <w:rFonts w:cs="David" w:hint="cs"/>
          <w:b/>
          <w:bCs/>
          <w:sz w:val="24"/>
          <w:szCs w:val="24"/>
          <w:rtl/>
        </w:rPr>
        <w:t>הערכאה השיפוטית העליונה</w:t>
      </w:r>
      <w:r w:rsidR="007436C6">
        <w:rPr>
          <w:rFonts w:cs="David" w:hint="cs"/>
          <w:sz w:val="24"/>
          <w:szCs w:val="24"/>
          <w:rtl/>
        </w:rPr>
        <w:t xml:space="preserve"> שליד ההתאחדות לכדורגל,</w:t>
      </w:r>
      <w:r>
        <w:rPr>
          <w:rFonts w:cs="David" w:hint="cs"/>
          <w:sz w:val="24"/>
          <w:szCs w:val="24"/>
          <w:rtl/>
        </w:rPr>
        <w:t xml:space="preserve"> וההלכות הנפסקות על ידו </w:t>
      </w:r>
      <w:r>
        <w:rPr>
          <w:rFonts w:cs="David"/>
          <w:sz w:val="24"/>
          <w:szCs w:val="24"/>
          <w:rtl/>
        </w:rPr>
        <w:t>–</w:t>
      </w:r>
      <w:r>
        <w:rPr>
          <w:rFonts w:cs="David" w:hint="cs"/>
          <w:sz w:val="24"/>
          <w:szCs w:val="24"/>
          <w:rtl/>
        </w:rPr>
        <w:t xml:space="preserve"> </w:t>
      </w:r>
      <w:r w:rsidRPr="007436C6">
        <w:rPr>
          <w:rFonts w:cs="David" w:hint="cs"/>
          <w:b/>
          <w:bCs/>
          <w:sz w:val="24"/>
          <w:szCs w:val="24"/>
          <w:rtl/>
        </w:rPr>
        <w:t>והן בלבד</w:t>
      </w:r>
      <w:r>
        <w:rPr>
          <w:rFonts w:cs="David" w:hint="cs"/>
          <w:sz w:val="24"/>
          <w:szCs w:val="24"/>
          <w:rtl/>
        </w:rPr>
        <w:t xml:space="preserve"> </w:t>
      </w:r>
      <w:r>
        <w:rPr>
          <w:rFonts w:cs="David"/>
          <w:sz w:val="24"/>
          <w:szCs w:val="24"/>
          <w:rtl/>
        </w:rPr>
        <w:t>–</w:t>
      </w:r>
      <w:r>
        <w:rPr>
          <w:rFonts w:cs="David" w:hint="cs"/>
          <w:sz w:val="24"/>
          <w:szCs w:val="24"/>
          <w:rtl/>
        </w:rPr>
        <w:t xml:space="preserve"> מחייבות את כל הערכאות הנמוכות, מלבד את ביה"ד העליון עצמו. </w:t>
      </w:r>
    </w:p>
    <w:p w:rsidR="007436C6" w:rsidRDefault="007436C6" w:rsidP="00E47D45">
      <w:pPr>
        <w:spacing w:line="240" w:lineRule="auto"/>
        <w:contextualSpacing/>
        <w:rPr>
          <w:rFonts w:cs="David"/>
          <w:b/>
          <w:bCs/>
          <w:sz w:val="24"/>
          <w:szCs w:val="24"/>
          <w:rtl/>
        </w:rPr>
      </w:pPr>
    </w:p>
    <w:p w:rsidR="007436C6" w:rsidRDefault="007436C6" w:rsidP="0084525D">
      <w:pPr>
        <w:spacing w:line="240" w:lineRule="auto"/>
        <w:contextualSpacing/>
        <w:rPr>
          <w:rFonts w:cs="David"/>
          <w:sz w:val="24"/>
          <w:szCs w:val="24"/>
          <w:rtl/>
        </w:rPr>
      </w:pPr>
      <w:r>
        <w:rPr>
          <w:rFonts w:cs="David" w:hint="cs"/>
          <w:sz w:val="24"/>
          <w:szCs w:val="24"/>
          <w:rtl/>
        </w:rPr>
        <w:t xml:space="preserve">11. אכן, מן הראוי לשאוף לכך שתהיה אחידות בפסיקת הדיינים בבתי הדין המשמעתיים, אולם התופעה של מתן החלטות מנוגדות, לעתים על ידי שני דיינים שונים </w:t>
      </w:r>
      <w:r>
        <w:rPr>
          <w:rFonts w:cs="David"/>
          <w:sz w:val="24"/>
          <w:szCs w:val="24"/>
          <w:rtl/>
        </w:rPr>
        <w:t>–</w:t>
      </w:r>
      <w:r>
        <w:rPr>
          <w:rFonts w:cs="David" w:hint="cs"/>
          <w:sz w:val="24"/>
          <w:szCs w:val="24"/>
          <w:rtl/>
        </w:rPr>
        <w:t xml:space="preserve"> כמו גם ע"י שופטים שונים בבתי המשפט במדינה </w:t>
      </w:r>
      <w:r>
        <w:rPr>
          <w:rFonts w:cs="David"/>
          <w:sz w:val="24"/>
          <w:szCs w:val="24"/>
          <w:rtl/>
        </w:rPr>
        <w:t>–</w:t>
      </w:r>
      <w:r>
        <w:rPr>
          <w:rFonts w:cs="David" w:hint="cs"/>
          <w:sz w:val="24"/>
          <w:szCs w:val="24"/>
          <w:rtl/>
        </w:rPr>
        <w:t xml:space="preserve"> אינה חזון נפרץ במקומותינו. או אז, מי שמכריע בין הדעות השונות היא </w:t>
      </w:r>
      <w:r w:rsidRPr="004735F6">
        <w:rPr>
          <w:rFonts w:cs="David" w:hint="cs"/>
          <w:b/>
          <w:bCs/>
          <w:sz w:val="24"/>
          <w:szCs w:val="24"/>
          <w:rtl/>
        </w:rPr>
        <w:t>ערכאת השיפוט העליונה</w:t>
      </w:r>
      <w:r>
        <w:rPr>
          <w:rFonts w:cs="David" w:hint="cs"/>
          <w:sz w:val="24"/>
          <w:szCs w:val="24"/>
          <w:rtl/>
        </w:rPr>
        <w:t xml:space="preserve">, קרי במקרה זה </w:t>
      </w:r>
      <w:r w:rsidRPr="007436C6">
        <w:rPr>
          <w:rFonts w:cs="David" w:hint="cs"/>
          <w:b/>
          <w:bCs/>
          <w:sz w:val="24"/>
          <w:szCs w:val="24"/>
          <w:rtl/>
        </w:rPr>
        <w:t>בית הדין העליון</w:t>
      </w:r>
      <w:r>
        <w:rPr>
          <w:rFonts w:cs="David" w:hint="cs"/>
          <w:sz w:val="24"/>
          <w:szCs w:val="24"/>
          <w:rtl/>
        </w:rPr>
        <w:t xml:space="preserve">, </w:t>
      </w:r>
      <w:r w:rsidR="0084525D">
        <w:rPr>
          <w:rFonts w:cs="David" w:hint="cs"/>
          <w:sz w:val="24"/>
          <w:szCs w:val="24"/>
          <w:rtl/>
        </w:rPr>
        <w:t>והוא בלבד</w:t>
      </w:r>
      <w:r>
        <w:rPr>
          <w:rFonts w:cs="David" w:hint="cs"/>
          <w:sz w:val="24"/>
          <w:szCs w:val="24"/>
          <w:rtl/>
        </w:rPr>
        <w:t xml:space="preserve">. </w:t>
      </w:r>
    </w:p>
    <w:p w:rsidR="007436C6" w:rsidRDefault="007436C6" w:rsidP="007436C6">
      <w:pPr>
        <w:spacing w:line="240" w:lineRule="auto"/>
        <w:contextualSpacing/>
        <w:rPr>
          <w:rFonts w:cs="David"/>
          <w:sz w:val="24"/>
          <w:szCs w:val="24"/>
          <w:rtl/>
        </w:rPr>
      </w:pPr>
    </w:p>
    <w:p w:rsidR="007436C6" w:rsidRPr="007436C6" w:rsidRDefault="007436C6" w:rsidP="007436C6">
      <w:pPr>
        <w:spacing w:line="240" w:lineRule="auto"/>
        <w:contextualSpacing/>
        <w:rPr>
          <w:rFonts w:cs="David"/>
          <w:sz w:val="24"/>
          <w:szCs w:val="24"/>
          <w:rtl/>
        </w:rPr>
      </w:pPr>
      <w:r>
        <w:rPr>
          <w:rFonts w:cs="David" w:hint="cs"/>
          <w:sz w:val="24"/>
          <w:szCs w:val="24"/>
          <w:rtl/>
        </w:rPr>
        <w:t>סברתו של ב"כ המבקשת כי החלטת ביה"ד המשמעתי מחייבת את ביה"ד העליון, או כי על ביה"ד העליון להכפיף עצמו להחלטה</w:t>
      </w:r>
      <w:r w:rsidR="004735F6">
        <w:rPr>
          <w:rFonts w:cs="David" w:hint="cs"/>
          <w:sz w:val="24"/>
          <w:szCs w:val="24"/>
          <w:rtl/>
        </w:rPr>
        <w:t xml:space="preserve"> "חלוטה"</w:t>
      </w:r>
      <w:r>
        <w:rPr>
          <w:rFonts w:cs="David" w:hint="cs"/>
          <w:sz w:val="24"/>
          <w:szCs w:val="24"/>
          <w:rtl/>
        </w:rPr>
        <w:t xml:space="preserve"> של ביה"ד המשמעתי </w:t>
      </w:r>
      <w:r>
        <w:rPr>
          <w:rFonts w:cs="David"/>
          <w:sz w:val="24"/>
          <w:szCs w:val="24"/>
          <w:rtl/>
        </w:rPr>
        <w:t>–</w:t>
      </w:r>
      <w:r>
        <w:rPr>
          <w:rFonts w:cs="David" w:hint="cs"/>
          <w:sz w:val="24"/>
          <w:szCs w:val="24"/>
          <w:rtl/>
        </w:rPr>
        <w:t xml:space="preserve"> ערכאה הנמוכה ממנו </w:t>
      </w:r>
      <w:r>
        <w:rPr>
          <w:rFonts w:cs="David"/>
          <w:sz w:val="24"/>
          <w:szCs w:val="24"/>
          <w:rtl/>
        </w:rPr>
        <w:t>–</w:t>
      </w:r>
      <w:r>
        <w:rPr>
          <w:rFonts w:cs="David" w:hint="cs"/>
          <w:sz w:val="24"/>
          <w:szCs w:val="24"/>
          <w:rtl/>
        </w:rPr>
        <w:t xml:space="preserve"> בלתי מתקבלת על הדעת ועומדת בסתירה לעקרונות משפט בסיסיים.</w:t>
      </w:r>
    </w:p>
    <w:p w:rsidR="00FD461D" w:rsidRDefault="00FD461D" w:rsidP="00FD461D">
      <w:pPr>
        <w:spacing w:line="240" w:lineRule="auto"/>
        <w:contextualSpacing/>
        <w:rPr>
          <w:rFonts w:cs="David"/>
          <w:b/>
          <w:bCs/>
          <w:sz w:val="24"/>
          <w:szCs w:val="24"/>
          <w:rtl/>
        </w:rPr>
      </w:pPr>
    </w:p>
    <w:p w:rsidR="005B155F" w:rsidRDefault="0031456C" w:rsidP="0084525D">
      <w:pPr>
        <w:spacing w:line="240" w:lineRule="auto"/>
        <w:contextualSpacing/>
        <w:rPr>
          <w:rFonts w:cs="David"/>
          <w:sz w:val="24"/>
          <w:szCs w:val="24"/>
          <w:rtl/>
        </w:rPr>
      </w:pPr>
      <w:r>
        <w:rPr>
          <w:rFonts w:cs="David" w:hint="cs"/>
          <w:sz w:val="24"/>
          <w:szCs w:val="24"/>
          <w:rtl/>
        </w:rPr>
        <w:t xml:space="preserve">12. סוף דבר, </w:t>
      </w:r>
      <w:r w:rsidR="00FD461D">
        <w:rPr>
          <w:rFonts w:cs="David" w:hint="cs"/>
          <w:sz w:val="24"/>
          <w:szCs w:val="24"/>
          <w:rtl/>
        </w:rPr>
        <w:t xml:space="preserve">לאחר ששקלתי את טענות </w:t>
      </w:r>
      <w:r w:rsidR="001B0C48">
        <w:rPr>
          <w:rFonts w:cs="David" w:hint="cs"/>
          <w:sz w:val="24"/>
          <w:szCs w:val="24"/>
          <w:rtl/>
        </w:rPr>
        <w:t>המבקשת בפרשה זו,</w:t>
      </w:r>
      <w:r w:rsidR="00E33C56">
        <w:rPr>
          <w:rFonts w:cs="David" w:hint="cs"/>
          <w:sz w:val="24"/>
          <w:szCs w:val="24"/>
          <w:rtl/>
        </w:rPr>
        <w:t xml:space="preserve"> </w:t>
      </w:r>
      <w:r w:rsidR="00FD461D">
        <w:rPr>
          <w:rFonts w:cs="David" w:hint="cs"/>
          <w:sz w:val="24"/>
          <w:szCs w:val="24"/>
          <w:rtl/>
        </w:rPr>
        <w:t xml:space="preserve">הגעתי לכלל מסקנה כי נשוא </w:t>
      </w:r>
      <w:r w:rsidR="001C049C">
        <w:rPr>
          <w:rFonts w:cs="David" w:hint="cs"/>
          <w:sz w:val="24"/>
          <w:szCs w:val="24"/>
          <w:rtl/>
        </w:rPr>
        <w:t>הבקשה</w:t>
      </w:r>
      <w:r w:rsidR="00FD461D">
        <w:rPr>
          <w:rFonts w:cs="David" w:hint="cs"/>
          <w:sz w:val="24"/>
          <w:szCs w:val="24"/>
          <w:rtl/>
        </w:rPr>
        <w:t xml:space="preserve"> אינו מעורר סוגיה משפטית ח</w:t>
      </w:r>
      <w:r w:rsidR="00E33C56">
        <w:rPr>
          <w:rFonts w:cs="David" w:hint="cs"/>
          <w:sz w:val="24"/>
          <w:szCs w:val="24"/>
          <w:rtl/>
        </w:rPr>
        <w:t>דשה, המצריכה קביעת הלכה עקרונית</w:t>
      </w:r>
      <w:r>
        <w:rPr>
          <w:rFonts w:cs="David" w:hint="cs"/>
          <w:sz w:val="24"/>
          <w:szCs w:val="24"/>
          <w:rtl/>
        </w:rPr>
        <w:t xml:space="preserve"> </w:t>
      </w:r>
      <w:r w:rsidR="005B7529">
        <w:rPr>
          <w:rFonts w:cs="David" w:hint="cs"/>
          <w:sz w:val="24"/>
          <w:szCs w:val="24"/>
          <w:rtl/>
        </w:rPr>
        <w:t>-</w:t>
      </w:r>
      <w:r w:rsidR="008C7560">
        <w:rPr>
          <w:rFonts w:cs="David" w:hint="cs"/>
          <w:sz w:val="24"/>
          <w:szCs w:val="24"/>
          <w:rtl/>
        </w:rPr>
        <w:t xml:space="preserve"> ועל כן דינה להידחות</w:t>
      </w:r>
      <w:r>
        <w:rPr>
          <w:rFonts w:cs="David" w:hint="cs"/>
          <w:sz w:val="24"/>
          <w:szCs w:val="24"/>
          <w:rtl/>
        </w:rPr>
        <w:t xml:space="preserve">. </w:t>
      </w:r>
    </w:p>
    <w:p w:rsidR="0031456C" w:rsidRDefault="0031456C" w:rsidP="0031456C">
      <w:pPr>
        <w:spacing w:line="240" w:lineRule="auto"/>
        <w:contextualSpacing/>
        <w:rPr>
          <w:rFonts w:cs="David"/>
          <w:sz w:val="24"/>
          <w:szCs w:val="24"/>
          <w:rtl/>
        </w:rPr>
      </w:pPr>
    </w:p>
    <w:p w:rsidR="0031456C" w:rsidRDefault="0031456C" w:rsidP="0031456C">
      <w:pPr>
        <w:spacing w:line="240" w:lineRule="auto"/>
        <w:contextualSpacing/>
        <w:rPr>
          <w:rFonts w:cs="David"/>
          <w:sz w:val="24"/>
          <w:szCs w:val="24"/>
          <w:rtl/>
        </w:rPr>
      </w:pPr>
      <w:r>
        <w:rPr>
          <w:rFonts w:cs="David" w:hint="cs"/>
          <w:sz w:val="24"/>
          <w:szCs w:val="24"/>
          <w:rtl/>
        </w:rPr>
        <w:t xml:space="preserve">13. בשולי ההחלטה, הנני מבקש להעיר הערה השאובה </w:t>
      </w:r>
      <w:r>
        <w:rPr>
          <w:rFonts w:cs="David"/>
          <w:sz w:val="24"/>
          <w:szCs w:val="24"/>
          <w:rtl/>
        </w:rPr>
        <w:t>–</w:t>
      </w:r>
      <w:r>
        <w:rPr>
          <w:rFonts w:cs="David" w:hint="cs"/>
          <w:sz w:val="24"/>
          <w:szCs w:val="24"/>
          <w:rtl/>
        </w:rPr>
        <w:t xml:space="preserve"> איך לא - מעולם הכדורגל; כפי שקבוצה צריכה לדעת להפסיד בכבוד על המגרש הירוק, כך עליה לקבל בכבוד הפסד גם על שולחן הדיונים. </w:t>
      </w:r>
    </w:p>
    <w:p w:rsidR="0031456C" w:rsidRDefault="0031456C" w:rsidP="0084525D">
      <w:pPr>
        <w:spacing w:line="240" w:lineRule="auto"/>
        <w:contextualSpacing/>
        <w:rPr>
          <w:rFonts w:cs="David"/>
          <w:sz w:val="24"/>
          <w:szCs w:val="24"/>
          <w:rtl/>
        </w:rPr>
      </w:pPr>
      <w:r>
        <w:rPr>
          <w:rFonts w:cs="David" w:hint="cs"/>
          <w:sz w:val="24"/>
          <w:szCs w:val="24"/>
          <w:rtl/>
        </w:rPr>
        <w:t xml:space="preserve">על אחת כמה וכמה, כאשר מדובר בקבוצת כדורגל מפוארת, העומדת על סף זכייה שניה ברציפות באליפות המדינה. </w:t>
      </w:r>
    </w:p>
    <w:p w:rsidR="000066A9" w:rsidRDefault="000066A9" w:rsidP="00DC5600">
      <w:pPr>
        <w:spacing w:line="240" w:lineRule="auto"/>
        <w:contextualSpacing/>
        <w:rPr>
          <w:rFonts w:cs="David"/>
          <w:sz w:val="24"/>
          <w:szCs w:val="24"/>
          <w:rtl/>
        </w:rPr>
      </w:pPr>
    </w:p>
    <w:p w:rsidR="000066A9" w:rsidRDefault="000066A9" w:rsidP="0031456C">
      <w:pPr>
        <w:spacing w:line="240" w:lineRule="auto"/>
        <w:contextualSpacing/>
        <w:rPr>
          <w:rFonts w:cs="David"/>
          <w:sz w:val="24"/>
          <w:szCs w:val="24"/>
          <w:rtl/>
        </w:rPr>
      </w:pPr>
      <w:r>
        <w:rPr>
          <w:rFonts w:cs="David" w:hint="cs"/>
          <w:sz w:val="24"/>
          <w:szCs w:val="24"/>
          <w:rtl/>
        </w:rPr>
        <w:t xml:space="preserve">ניתנה היום, </w:t>
      </w:r>
      <w:r w:rsidR="0031456C">
        <w:rPr>
          <w:rFonts w:cs="David" w:hint="cs"/>
          <w:sz w:val="24"/>
          <w:szCs w:val="24"/>
          <w:rtl/>
        </w:rPr>
        <w:t xml:space="preserve">6.5.22 </w:t>
      </w:r>
      <w:r>
        <w:rPr>
          <w:rFonts w:cs="David" w:hint="cs"/>
          <w:sz w:val="24"/>
          <w:szCs w:val="24"/>
          <w:rtl/>
        </w:rPr>
        <w:t>שלא במעמד הצדדים, ותועבר אליהם על ידי המזכירות.</w:t>
      </w:r>
    </w:p>
    <w:p w:rsidR="004735F6" w:rsidRDefault="004735F6" w:rsidP="0031456C">
      <w:pPr>
        <w:spacing w:line="240" w:lineRule="auto"/>
        <w:contextualSpacing/>
        <w:rPr>
          <w:rFonts w:cs="David"/>
          <w:sz w:val="24"/>
          <w:szCs w:val="24"/>
          <w:rtl/>
        </w:rPr>
      </w:pPr>
    </w:p>
    <w:p w:rsidR="00F64415" w:rsidRDefault="00F64415" w:rsidP="00DC5600">
      <w:pPr>
        <w:spacing w:line="240" w:lineRule="auto"/>
        <w:contextualSpacing/>
        <w:rPr>
          <w:rFonts w:cs="David"/>
          <w:sz w:val="24"/>
          <w:szCs w:val="24"/>
          <w:rtl/>
        </w:rPr>
      </w:pPr>
    </w:p>
    <w:p w:rsidR="00F64415" w:rsidRDefault="000066A9" w:rsidP="00DC5600">
      <w:pPr>
        <w:spacing w:line="240" w:lineRule="auto"/>
        <w:contextualSpacing/>
        <w:rPr>
          <w:rFonts w:cs="David"/>
          <w:sz w:val="24"/>
          <w:szCs w:val="24"/>
          <w:rtl/>
        </w:rPr>
      </w:pPr>
      <w:r w:rsidRPr="000066A9">
        <w:rPr>
          <w:rFonts w:cs="David"/>
          <w:noProof/>
          <w:sz w:val="24"/>
          <w:szCs w:val="24"/>
          <w:rtl/>
        </w:rPr>
        <w:drawing>
          <wp:inline distT="0" distB="0" distL="0" distR="0">
            <wp:extent cx="1524000" cy="752475"/>
            <wp:effectExtent l="19050" t="0" r="0" b="0"/>
            <wp:docPr id="3" name="Picture 1" descr="amns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nsin2"/>
                    <pic:cNvPicPr>
                      <a:picLocks noChangeAspect="1" noChangeArrowheads="1"/>
                    </pic:cNvPicPr>
                  </pic:nvPicPr>
                  <pic:blipFill>
                    <a:blip r:embed="rId12"/>
                    <a:srcRect/>
                    <a:stretch>
                      <a:fillRect/>
                    </a:stretch>
                  </pic:blipFill>
                  <pic:spPr bwMode="auto">
                    <a:xfrm>
                      <a:off x="0" y="0"/>
                      <a:ext cx="1524000" cy="752475"/>
                    </a:xfrm>
                    <a:prstGeom prst="rect">
                      <a:avLst/>
                    </a:prstGeom>
                    <a:noFill/>
                    <a:ln w="9525">
                      <a:noFill/>
                      <a:miter lim="800000"/>
                      <a:headEnd/>
                      <a:tailEnd/>
                    </a:ln>
                  </pic:spPr>
                </pic:pic>
              </a:graphicData>
            </a:graphic>
          </wp:inline>
        </w:drawing>
      </w:r>
    </w:p>
    <w:p w:rsidR="00F64415" w:rsidRDefault="00F64415" w:rsidP="00DC5600">
      <w:pPr>
        <w:spacing w:line="240" w:lineRule="auto"/>
        <w:contextualSpacing/>
        <w:rPr>
          <w:rFonts w:cs="David"/>
          <w:sz w:val="24"/>
          <w:szCs w:val="24"/>
          <w:rtl/>
        </w:rPr>
      </w:pPr>
    </w:p>
    <w:p w:rsidR="00F64415" w:rsidRPr="004735F6" w:rsidRDefault="00F64415" w:rsidP="00DC5600">
      <w:pPr>
        <w:spacing w:line="240" w:lineRule="auto"/>
        <w:contextualSpacing/>
        <w:rPr>
          <w:rFonts w:cs="David"/>
          <w:b/>
          <w:bCs/>
          <w:sz w:val="28"/>
          <w:szCs w:val="28"/>
          <w:rtl/>
        </w:rPr>
      </w:pPr>
      <w:r w:rsidRPr="004735F6">
        <w:rPr>
          <w:rFonts w:cs="David" w:hint="cs"/>
          <w:b/>
          <w:bCs/>
          <w:sz w:val="28"/>
          <w:szCs w:val="28"/>
          <w:rtl/>
        </w:rPr>
        <w:t>אמנון סטרשנוב</w:t>
      </w:r>
    </w:p>
    <w:p w:rsidR="00F64415" w:rsidRPr="004735F6" w:rsidRDefault="00F64415" w:rsidP="00DC5600">
      <w:pPr>
        <w:spacing w:line="240" w:lineRule="auto"/>
        <w:contextualSpacing/>
        <w:rPr>
          <w:rFonts w:cs="David"/>
          <w:sz w:val="28"/>
          <w:szCs w:val="28"/>
          <w:rtl/>
        </w:rPr>
      </w:pPr>
      <w:r w:rsidRPr="004735F6">
        <w:rPr>
          <w:rFonts w:cs="David" w:hint="cs"/>
          <w:sz w:val="28"/>
          <w:szCs w:val="28"/>
          <w:rtl/>
        </w:rPr>
        <w:t>נשיא ביה"ד העליון</w:t>
      </w:r>
    </w:p>
    <w:p w:rsidR="004C2E98" w:rsidRDefault="004C2E98" w:rsidP="00DC5600">
      <w:pPr>
        <w:spacing w:line="240" w:lineRule="auto"/>
        <w:contextualSpacing/>
        <w:rPr>
          <w:rFonts w:cs="David"/>
          <w:sz w:val="24"/>
          <w:szCs w:val="24"/>
          <w:rtl/>
        </w:rPr>
      </w:pPr>
    </w:p>
    <w:p w:rsidR="004C2E98" w:rsidRDefault="004C2E98" w:rsidP="00DC5600">
      <w:pPr>
        <w:spacing w:line="240" w:lineRule="auto"/>
        <w:contextualSpacing/>
        <w:rPr>
          <w:rFonts w:cs="David"/>
          <w:sz w:val="24"/>
          <w:szCs w:val="24"/>
          <w:rtl/>
        </w:rPr>
      </w:pPr>
    </w:p>
    <w:p w:rsidR="004C2E98" w:rsidRDefault="004C2E98" w:rsidP="00DC5600">
      <w:pPr>
        <w:spacing w:line="240" w:lineRule="auto"/>
        <w:contextualSpacing/>
        <w:rPr>
          <w:rFonts w:cs="David"/>
          <w:sz w:val="24"/>
          <w:szCs w:val="24"/>
          <w:rtl/>
        </w:rPr>
      </w:pPr>
    </w:p>
    <w:p w:rsidR="00BA2A7C" w:rsidRDefault="00BA2A7C" w:rsidP="00A2591C">
      <w:pPr>
        <w:spacing w:line="240" w:lineRule="auto"/>
        <w:contextualSpacing/>
        <w:rPr>
          <w:rFonts w:cs="David"/>
          <w:sz w:val="24"/>
          <w:szCs w:val="24"/>
          <w:rtl/>
        </w:rPr>
      </w:pPr>
    </w:p>
    <w:sectPr w:rsidR="00BA2A7C" w:rsidSect="0026203E">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DFF" w:rsidRDefault="009D1DFF" w:rsidP="00C21431">
      <w:pPr>
        <w:spacing w:after="0" w:line="240" w:lineRule="auto"/>
      </w:pPr>
      <w:r>
        <w:separator/>
      </w:r>
    </w:p>
  </w:endnote>
  <w:endnote w:type="continuationSeparator" w:id="1">
    <w:p w:rsidR="009D1DFF" w:rsidRDefault="009D1DFF" w:rsidP="00C21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8293219"/>
      <w:docPartObj>
        <w:docPartGallery w:val="Page Numbers (Bottom of Page)"/>
        <w:docPartUnique/>
      </w:docPartObj>
    </w:sdtPr>
    <w:sdtContent>
      <w:p w:rsidR="003A5668" w:rsidRDefault="005471D3">
        <w:pPr>
          <w:pStyle w:val="Footer"/>
          <w:jc w:val="center"/>
        </w:pPr>
        <w:fldSimple w:instr=" PAGE   \* MERGEFORMAT ">
          <w:r w:rsidR="00F6116C">
            <w:rPr>
              <w:noProof/>
              <w:rtl/>
            </w:rPr>
            <w:t>3</w:t>
          </w:r>
        </w:fldSimple>
      </w:p>
    </w:sdtContent>
  </w:sdt>
  <w:p w:rsidR="003A5668" w:rsidRDefault="003A5668" w:rsidP="00EE64B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DFF" w:rsidRDefault="009D1DFF" w:rsidP="00C21431">
      <w:pPr>
        <w:spacing w:after="0" w:line="240" w:lineRule="auto"/>
      </w:pPr>
      <w:r>
        <w:separator/>
      </w:r>
    </w:p>
  </w:footnote>
  <w:footnote w:type="continuationSeparator" w:id="1">
    <w:p w:rsidR="009D1DFF" w:rsidRDefault="009D1DFF" w:rsidP="00C21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68" w:rsidRDefault="003A5668" w:rsidP="00EE64B4">
    <w:pPr>
      <w:pStyle w:val="Header"/>
      <w:jc w:val="center"/>
      <w:rPr>
        <w:rtl/>
      </w:rPr>
    </w:pPr>
    <w:r>
      <w:rPr>
        <w:noProof/>
      </w:rPr>
      <w:drawing>
        <wp:inline distT="0" distB="0" distL="0" distR="0">
          <wp:extent cx="3867150" cy="1343025"/>
          <wp:effectExtent l="19050" t="0" r="0" b="0"/>
          <wp:docPr id="2"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3867150" cy="1343025"/>
                  </a:xfrm>
                  <a:prstGeom prst="rect">
                    <a:avLst/>
                  </a:prstGeom>
                </pic:spPr>
              </pic:pic>
            </a:graphicData>
          </a:graphic>
        </wp:inline>
      </w:drawing>
    </w:r>
  </w:p>
  <w:p w:rsidR="003A5668" w:rsidRDefault="003A5668" w:rsidP="00EE64B4">
    <w:pPr>
      <w:pStyle w:val="Header"/>
      <w:jc w:val="center"/>
      <w:rPr>
        <w:rtl/>
      </w:rPr>
    </w:pPr>
  </w:p>
  <w:p w:rsidR="003A5668" w:rsidRPr="00FC1E3B" w:rsidRDefault="003A5668" w:rsidP="00EE64B4">
    <w:pPr>
      <w:pStyle w:val="Header"/>
      <w:jc w:val="center"/>
      <w:rPr>
        <w:rFonts w:ascii="David" w:hAnsi="David" w:cs="David"/>
        <w:b/>
        <w:bCs/>
        <w:color w:val="1F497D" w:themeColor="text2"/>
        <w:sz w:val="32"/>
        <w:szCs w:val="32"/>
        <w:rtl/>
      </w:rPr>
    </w:pPr>
    <w:r w:rsidRPr="00FC1E3B">
      <w:rPr>
        <w:rFonts w:ascii="David" w:hAnsi="David" w:cs="David" w:hint="cs"/>
        <w:b/>
        <w:bCs/>
        <w:color w:val="1F497D" w:themeColor="text2"/>
        <w:sz w:val="32"/>
        <w:szCs w:val="32"/>
        <w:rtl/>
      </w:rPr>
      <w:t>לשכת נשיא בית הדין העליון</w:t>
    </w:r>
  </w:p>
  <w:p w:rsidR="003A5668" w:rsidRPr="00FC1E3B" w:rsidRDefault="003A5668" w:rsidP="00EE64B4">
    <w:pPr>
      <w:pStyle w:val="Header"/>
      <w:jc w:val="center"/>
      <w:rPr>
        <w:rFonts w:ascii="David" w:hAnsi="David" w:cs="David"/>
        <w:b/>
        <w:bCs/>
        <w:color w:val="1F497D" w:themeColor="text2"/>
        <w:sz w:val="26"/>
        <w:szCs w:val="26"/>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30CAB"/>
    <w:multiLevelType w:val="hybridMultilevel"/>
    <w:tmpl w:val="BD04ECA0"/>
    <w:lvl w:ilvl="0" w:tplc="513E08B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5058"/>
  </w:hdrShapeDefaults>
  <w:footnotePr>
    <w:footnote w:id="0"/>
    <w:footnote w:id="1"/>
  </w:footnotePr>
  <w:endnotePr>
    <w:endnote w:id="0"/>
    <w:endnote w:id="1"/>
  </w:endnotePr>
  <w:compat/>
  <w:rsids>
    <w:rsidRoot w:val="00FC1E3B"/>
    <w:rsid w:val="00001D23"/>
    <w:rsid w:val="000066A9"/>
    <w:rsid w:val="00040921"/>
    <w:rsid w:val="00044B1C"/>
    <w:rsid w:val="00050EBB"/>
    <w:rsid w:val="000707F8"/>
    <w:rsid w:val="00070EA9"/>
    <w:rsid w:val="00092053"/>
    <w:rsid w:val="000C4373"/>
    <w:rsid w:val="000C65A8"/>
    <w:rsid w:val="000D47D6"/>
    <w:rsid w:val="000D63F3"/>
    <w:rsid w:val="000D73F7"/>
    <w:rsid w:val="000F726F"/>
    <w:rsid w:val="00104B52"/>
    <w:rsid w:val="00104D6C"/>
    <w:rsid w:val="0013306E"/>
    <w:rsid w:val="00154709"/>
    <w:rsid w:val="00154DE9"/>
    <w:rsid w:val="00180F15"/>
    <w:rsid w:val="0018278E"/>
    <w:rsid w:val="001B0C48"/>
    <w:rsid w:val="001C049C"/>
    <w:rsid w:val="001F1E13"/>
    <w:rsid w:val="001F4C52"/>
    <w:rsid w:val="001F519E"/>
    <w:rsid w:val="001F71BA"/>
    <w:rsid w:val="00215211"/>
    <w:rsid w:val="00232F6F"/>
    <w:rsid w:val="002411A8"/>
    <w:rsid w:val="00244824"/>
    <w:rsid w:val="0025319D"/>
    <w:rsid w:val="002548D5"/>
    <w:rsid w:val="00257D9D"/>
    <w:rsid w:val="0026203E"/>
    <w:rsid w:val="00262299"/>
    <w:rsid w:val="00275DD5"/>
    <w:rsid w:val="0028693B"/>
    <w:rsid w:val="00290672"/>
    <w:rsid w:val="002A591C"/>
    <w:rsid w:val="002B5EBA"/>
    <w:rsid w:val="002C5DF8"/>
    <w:rsid w:val="002F59BD"/>
    <w:rsid w:val="00301D6C"/>
    <w:rsid w:val="0031456C"/>
    <w:rsid w:val="00343C17"/>
    <w:rsid w:val="00345498"/>
    <w:rsid w:val="003764E0"/>
    <w:rsid w:val="00384CE4"/>
    <w:rsid w:val="003A3689"/>
    <w:rsid w:val="003A5668"/>
    <w:rsid w:val="003A58E6"/>
    <w:rsid w:val="003E02EB"/>
    <w:rsid w:val="003F3070"/>
    <w:rsid w:val="0041232A"/>
    <w:rsid w:val="00443DEA"/>
    <w:rsid w:val="00451A01"/>
    <w:rsid w:val="00457561"/>
    <w:rsid w:val="00457A6C"/>
    <w:rsid w:val="00463583"/>
    <w:rsid w:val="004735F6"/>
    <w:rsid w:val="004759F4"/>
    <w:rsid w:val="00476E78"/>
    <w:rsid w:val="00494114"/>
    <w:rsid w:val="004A4972"/>
    <w:rsid w:val="004B5157"/>
    <w:rsid w:val="004C2E98"/>
    <w:rsid w:val="004C4FBB"/>
    <w:rsid w:val="004E5400"/>
    <w:rsid w:val="004F4B5F"/>
    <w:rsid w:val="005471D3"/>
    <w:rsid w:val="00574E88"/>
    <w:rsid w:val="00575099"/>
    <w:rsid w:val="00584B7C"/>
    <w:rsid w:val="005A481C"/>
    <w:rsid w:val="005A49E2"/>
    <w:rsid w:val="005B155F"/>
    <w:rsid w:val="005B7529"/>
    <w:rsid w:val="005C4B7E"/>
    <w:rsid w:val="005C65E1"/>
    <w:rsid w:val="005F1A39"/>
    <w:rsid w:val="0060050C"/>
    <w:rsid w:val="0060794B"/>
    <w:rsid w:val="006166EC"/>
    <w:rsid w:val="00632841"/>
    <w:rsid w:val="00640C5C"/>
    <w:rsid w:val="00666A6E"/>
    <w:rsid w:val="00673A67"/>
    <w:rsid w:val="00674844"/>
    <w:rsid w:val="00695D4E"/>
    <w:rsid w:val="00697FAA"/>
    <w:rsid w:val="006A5D84"/>
    <w:rsid w:val="006D0BCA"/>
    <w:rsid w:val="006E6FCF"/>
    <w:rsid w:val="006F7DF6"/>
    <w:rsid w:val="0070511F"/>
    <w:rsid w:val="00712287"/>
    <w:rsid w:val="00717CE5"/>
    <w:rsid w:val="00717F70"/>
    <w:rsid w:val="007213A6"/>
    <w:rsid w:val="00734770"/>
    <w:rsid w:val="007436C6"/>
    <w:rsid w:val="0075518B"/>
    <w:rsid w:val="007631AF"/>
    <w:rsid w:val="00766752"/>
    <w:rsid w:val="007667F6"/>
    <w:rsid w:val="00767E9D"/>
    <w:rsid w:val="007705A9"/>
    <w:rsid w:val="00784772"/>
    <w:rsid w:val="007A63EC"/>
    <w:rsid w:val="007B55AC"/>
    <w:rsid w:val="007D7AA9"/>
    <w:rsid w:val="007F7582"/>
    <w:rsid w:val="00800F16"/>
    <w:rsid w:val="00812439"/>
    <w:rsid w:val="0082597A"/>
    <w:rsid w:val="00826446"/>
    <w:rsid w:val="00827971"/>
    <w:rsid w:val="00841E95"/>
    <w:rsid w:val="0084525D"/>
    <w:rsid w:val="0085104B"/>
    <w:rsid w:val="00865665"/>
    <w:rsid w:val="008675DC"/>
    <w:rsid w:val="0087266A"/>
    <w:rsid w:val="00890EF2"/>
    <w:rsid w:val="008B3074"/>
    <w:rsid w:val="008C0143"/>
    <w:rsid w:val="008C1A9A"/>
    <w:rsid w:val="008C7560"/>
    <w:rsid w:val="008E1DED"/>
    <w:rsid w:val="008F1FCC"/>
    <w:rsid w:val="008F28D3"/>
    <w:rsid w:val="008F3CC1"/>
    <w:rsid w:val="00906189"/>
    <w:rsid w:val="0090718C"/>
    <w:rsid w:val="00916D42"/>
    <w:rsid w:val="00933EE3"/>
    <w:rsid w:val="0095654D"/>
    <w:rsid w:val="00966EB9"/>
    <w:rsid w:val="00996689"/>
    <w:rsid w:val="009A1E4D"/>
    <w:rsid w:val="009A4BAC"/>
    <w:rsid w:val="009B49E7"/>
    <w:rsid w:val="009D1DFF"/>
    <w:rsid w:val="009E7D17"/>
    <w:rsid w:val="009F56EE"/>
    <w:rsid w:val="009F750F"/>
    <w:rsid w:val="00A0057C"/>
    <w:rsid w:val="00A03452"/>
    <w:rsid w:val="00A03BA0"/>
    <w:rsid w:val="00A2591C"/>
    <w:rsid w:val="00A40F1B"/>
    <w:rsid w:val="00A51F75"/>
    <w:rsid w:val="00A6058A"/>
    <w:rsid w:val="00A70151"/>
    <w:rsid w:val="00A75D6C"/>
    <w:rsid w:val="00A75F69"/>
    <w:rsid w:val="00A9464B"/>
    <w:rsid w:val="00A9712D"/>
    <w:rsid w:val="00AA5EA6"/>
    <w:rsid w:val="00AB3C56"/>
    <w:rsid w:val="00AB5B46"/>
    <w:rsid w:val="00AC2886"/>
    <w:rsid w:val="00AD4D51"/>
    <w:rsid w:val="00AE1754"/>
    <w:rsid w:val="00AE54DF"/>
    <w:rsid w:val="00B007D7"/>
    <w:rsid w:val="00B10B3F"/>
    <w:rsid w:val="00B278A4"/>
    <w:rsid w:val="00B3318B"/>
    <w:rsid w:val="00B36332"/>
    <w:rsid w:val="00B50B1C"/>
    <w:rsid w:val="00B51127"/>
    <w:rsid w:val="00B64DE7"/>
    <w:rsid w:val="00B7035B"/>
    <w:rsid w:val="00B863FA"/>
    <w:rsid w:val="00B91916"/>
    <w:rsid w:val="00B95F71"/>
    <w:rsid w:val="00BA067A"/>
    <w:rsid w:val="00BA2A7C"/>
    <w:rsid w:val="00BB5656"/>
    <w:rsid w:val="00BB5FA4"/>
    <w:rsid w:val="00BC5770"/>
    <w:rsid w:val="00BC7FBF"/>
    <w:rsid w:val="00BF2B97"/>
    <w:rsid w:val="00BF2EEA"/>
    <w:rsid w:val="00BF6F82"/>
    <w:rsid w:val="00C03041"/>
    <w:rsid w:val="00C03C18"/>
    <w:rsid w:val="00C21431"/>
    <w:rsid w:val="00C2241E"/>
    <w:rsid w:val="00C35EEA"/>
    <w:rsid w:val="00C43B7D"/>
    <w:rsid w:val="00C47B1B"/>
    <w:rsid w:val="00C52DD8"/>
    <w:rsid w:val="00C56F11"/>
    <w:rsid w:val="00C66938"/>
    <w:rsid w:val="00C705A3"/>
    <w:rsid w:val="00C70EC0"/>
    <w:rsid w:val="00C76E8F"/>
    <w:rsid w:val="00C80EE9"/>
    <w:rsid w:val="00C824FB"/>
    <w:rsid w:val="00C93E73"/>
    <w:rsid w:val="00CA2C94"/>
    <w:rsid w:val="00CC457B"/>
    <w:rsid w:val="00CC554B"/>
    <w:rsid w:val="00CD29F0"/>
    <w:rsid w:val="00CF453E"/>
    <w:rsid w:val="00D103E1"/>
    <w:rsid w:val="00D11559"/>
    <w:rsid w:val="00D22414"/>
    <w:rsid w:val="00D379BE"/>
    <w:rsid w:val="00D41343"/>
    <w:rsid w:val="00D41401"/>
    <w:rsid w:val="00D53CA9"/>
    <w:rsid w:val="00D54198"/>
    <w:rsid w:val="00D542BC"/>
    <w:rsid w:val="00D6015C"/>
    <w:rsid w:val="00D67316"/>
    <w:rsid w:val="00DA4467"/>
    <w:rsid w:val="00DC5600"/>
    <w:rsid w:val="00DC7495"/>
    <w:rsid w:val="00DD6374"/>
    <w:rsid w:val="00DE1392"/>
    <w:rsid w:val="00DE3D48"/>
    <w:rsid w:val="00DF1B3F"/>
    <w:rsid w:val="00DF1D67"/>
    <w:rsid w:val="00E16D8B"/>
    <w:rsid w:val="00E311BB"/>
    <w:rsid w:val="00E33C56"/>
    <w:rsid w:val="00E47D45"/>
    <w:rsid w:val="00E51B60"/>
    <w:rsid w:val="00E679A0"/>
    <w:rsid w:val="00E756B9"/>
    <w:rsid w:val="00E83C11"/>
    <w:rsid w:val="00E97CCB"/>
    <w:rsid w:val="00EA3107"/>
    <w:rsid w:val="00EC653D"/>
    <w:rsid w:val="00ED24DF"/>
    <w:rsid w:val="00ED547E"/>
    <w:rsid w:val="00EE64B4"/>
    <w:rsid w:val="00EF3AA0"/>
    <w:rsid w:val="00EF5E74"/>
    <w:rsid w:val="00F00F72"/>
    <w:rsid w:val="00F11484"/>
    <w:rsid w:val="00F22740"/>
    <w:rsid w:val="00F26A73"/>
    <w:rsid w:val="00F43A0A"/>
    <w:rsid w:val="00F50075"/>
    <w:rsid w:val="00F528CD"/>
    <w:rsid w:val="00F52F5C"/>
    <w:rsid w:val="00F548F3"/>
    <w:rsid w:val="00F566EA"/>
    <w:rsid w:val="00F6116C"/>
    <w:rsid w:val="00F6396E"/>
    <w:rsid w:val="00F64415"/>
    <w:rsid w:val="00F6629A"/>
    <w:rsid w:val="00F77C80"/>
    <w:rsid w:val="00F914DB"/>
    <w:rsid w:val="00F9489F"/>
    <w:rsid w:val="00F96330"/>
    <w:rsid w:val="00FA7DC6"/>
    <w:rsid w:val="00FA7FDD"/>
    <w:rsid w:val="00FB3850"/>
    <w:rsid w:val="00FC1E3B"/>
    <w:rsid w:val="00FD461D"/>
    <w:rsid w:val="00FF413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B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5B46"/>
  </w:style>
  <w:style w:type="paragraph" w:styleId="Footer">
    <w:name w:val="footer"/>
    <w:basedOn w:val="Normal"/>
    <w:link w:val="FooterChar"/>
    <w:uiPriority w:val="99"/>
    <w:unhideWhenUsed/>
    <w:rsid w:val="00AB5B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B46"/>
  </w:style>
  <w:style w:type="table" w:styleId="TableGrid">
    <w:name w:val="Table Grid"/>
    <w:basedOn w:val="TableNormal"/>
    <w:uiPriority w:val="59"/>
    <w:rsid w:val="00AB5B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B46"/>
    <w:rPr>
      <w:rFonts w:ascii="Tahoma" w:hAnsi="Tahoma" w:cs="Tahoma"/>
      <w:sz w:val="16"/>
      <w:szCs w:val="16"/>
    </w:rPr>
  </w:style>
  <w:style w:type="paragraph" w:styleId="ListParagraph">
    <w:name w:val="List Paragraph"/>
    <w:basedOn w:val="Normal"/>
    <w:uiPriority w:val="34"/>
    <w:qFormat/>
    <w:rsid w:val="00CC5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דף לוגו" ma:contentTypeID="0x0101004636179C8CDAFB46A05413AE37CE3071003895A6311B2CF44E8F39EC96E3ACABFB" ma:contentTypeVersion="6" ma:contentTypeDescription="" ma:contentTypeScope="" ma:versionID="ce8ce94ae6885c379311c794c06c1a1d">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2A78-9FEE-4D74-AD74-23FB7963FE2F}">
  <ds:schemaRefs>
    <ds:schemaRef ds:uri="http://schemas.microsoft.com/office/2006/metadata/properties"/>
  </ds:schemaRefs>
</ds:datastoreItem>
</file>

<file path=customXml/itemProps2.xml><?xml version="1.0" encoding="utf-8"?>
<ds:datastoreItem xmlns:ds="http://schemas.openxmlformats.org/officeDocument/2006/customXml" ds:itemID="{8E9C344E-21BD-4057-99FD-AF5E32AD002E}">
  <ds:schemaRefs>
    <ds:schemaRef ds:uri="http://schemas.microsoft.com/office/2006/metadata/customXsn"/>
  </ds:schemaRefs>
</ds:datastoreItem>
</file>

<file path=customXml/itemProps3.xml><?xml version="1.0" encoding="utf-8"?>
<ds:datastoreItem xmlns:ds="http://schemas.openxmlformats.org/officeDocument/2006/customXml" ds:itemID="{F43D5704-EEB3-4159-A05B-44D3A4143754}">
  <ds:schemaRefs>
    <ds:schemaRef ds:uri="http://schemas.microsoft.com/sharepoint/v3/contenttype/forms"/>
  </ds:schemaRefs>
</ds:datastoreItem>
</file>

<file path=customXml/itemProps4.xml><?xml version="1.0" encoding="utf-8"?>
<ds:datastoreItem xmlns:ds="http://schemas.openxmlformats.org/officeDocument/2006/customXml" ds:itemID="{8D995362-5552-4FA3-B56F-F09F1DBF5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06A65D8-5627-4A85-B500-F30CF2C5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3</Pages>
  <Words>975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Amir Navon</dc:creator>
  <cp:lastModifiedBy>XpHomeEng</cp:lastModifiedBy>
  <cp:revision>15</cp:revision>
  <cp:lastPrinted>2016-12-07T08:33:00Z</cp:lastPrinted>
  <dcterms:created xsi:type="dcterms:W3CDTF">2022-05-02T19:33:00Z</dcterms:created>
  <dcterms:modified xsi:type="dcterms:W3CDTF">2022-05-06T06:26:00Z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0x0101004636179C8CDAFB46A05413AE37CE3071003895A6311B2CF44E8F39EC96E3ACABFB</vt:lpwstr>
  </property>
</Properties>
</file>